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4861" w14:textId="4D63F591" w:rsidR="007D0643" w:rsidRPr="0041792A" w:rsidRDefault="0091726B" w:rsidP="004001BA">
      <w:pPr>
        <w:spacing w:after="0" w:line="360" w:lineRule="auto"/>
        <w:rPr>
          <w:rFonts w:asciiTheme="majorHAnsi" w:eastAsia="Arial" w:hAnsiTheme="majorHAnsi" w:cstheme="majorHAnsi"/>
          <w:b/>
          <w:sz w:val="32"/>
          <w:szCs w:val="32"/>
        </w:rPr>
      </w:pPr>
      <w:r w:rsidRPr="0041792A">
        <w:rPr>
          <w:rFonts w:asciiTheme="majorHAnsi" w:eastAsia="Arial" w:hAnsiTheme="majorHAnsi" w:cstheme="majorHAnsi"/>
          <w:b/>
          <w:sz w:val="32"/>
          <w:szCs w:val="32"/>
        </w:rPr>
        <w:t>Medien-Information</w:t>
      </w:r>
    </w:p>
    <w:p w14:paraId="7CCB7545" w14:textId="78E63985" w:rsidR="0030001D" w:rsidRPr="0041792A" w:rsidRDefault="005B7074" w:rsidP="004001BA">
      <w:pPr>
        <w:spacing w:after="0" w:line="360" w:lineRule="auto"/>
        <w:rPr>
          <w:rFonts w:asciiTheme="majorHAnsi" w:eastAsia="Arial" w:hAnsiTheme="majorHAnsi" w:cstheme="majorHAnsi"/>
          <w:b/>
        </w:rPr>
      </w:pPr>
      <w:r w:rsidRPr="0041792A">
        <w:rPr>
          <w:rFonts w:asciiTheme="majorHAnsi" w:eastAsia="Arial" w:hAnsiTheme="majorHAnsi" w:cstheme="majorHAnsi"/>
          <w:b/>
          <w:bCs/>
        </w:rPr>
        <w:t>Frei z</w:t>
      </w:r>
      <w:r w:rsidR="001A2148" w:rsidRPr="0041792A">
        <w:rPr>
          <w:rFonts w:asciiTheme="majorHAnsi" w:eastAsia="Arial" w:hAnsiTheme="majorHAnsi" w:cstheme="majorHAnsi"/>
          <w:b/>
          <w:bCs/>
        </w:rPr>
        <w:t>ur</w:t>
      </w:r>
      <w:r w:rsidR="006636B2" w:rsidRPr="0041792A">
        <w:rPr>
          <w:rFonts w:asciiTheme="majorHAnsi" w:eastAsia="Arial" w:hAnsiTheme="majorHAnsi" w:cstheme="majorHAnsi"/>
          <w:b/>
          <w:bCs/>
        </w:rPr>
        <w:t xml:space="preserve"> V</w:t>
      </w:r>
      <w:r w:rsidR="001A2148" w:rsidRPr="0041792A">
        <w:rPr>
          <w:rFonts w:asciiTheme="majorHAnsi" w:eastAsia="Arial" w:hAnsiTheme="majorHAnsi" w:cstheme="majorHAnsi"/>
          <w:b/>
          <w:bCs/>
        </w:rPr>
        <w:t>eröffentlichung</w:t>
      </w:r>
      <w:r w:rsidRPr="0041792A">
        <w:rPr>
          <w:rFonts w:asciiTheme="majorHAnsi" w:eastAsia="Arial" w:hAnsiTheme="majorHAnsi" w:cstheme="majorHAnsi"/>
          <w:b/>
          <w:bCs/>
        </w:rPr>
        <w:t xml:space="preserve"> / Beleg erbeten</w:t>
      </w:r>
    </w:p>
    <w:p w14:paraId="38CB8243" w14:textId="77777777" w:rsidR="001A2148" w:rsidRPr="0041792A" w:rsidRDefault="001A2148" w:rsidP="004001BA">
      <w:pPr>
        <w:spacing w:after="0" w:line="360" w:lineRule="auto"/>
        <w:rPr>
          <w:rFonts w:asciiTheme="majorHAnsi" w:eastAsia="Arial" w:hAnsiTheme="majorHAnsi" w:cstheme="majorHAnsi"/>
        </w:rPr>
      </w:pPr>
    </w:p>
    <w:p w14:paraId="6B3F61A9" w14:textId="6C8A5D65" w:rsidR="008E4CAE" w:rsidRPr="0041792A" w:rsidRDefault="006636B2" w:rsidP="004001BA">
      <w:pPr>
        <w:spacing w:after="0" w:line="360" w:lineRule="auto"/>
        <w:rPr>
          <w:rFonts w:asciiTheme="majorHAnsi" w:eastAsia="Arial" w:hAnsiTheme="majorHAnsi" w:cstheme="majorHAnsi"/>
        </w:rPr>
      </w:pPr>
      <w:r w:rsidRPr="0041792A">
        <w:rPr>
          <w:rFonts w:asciiTheme="majorHAnsi" w:eastAsia="Arial" w:hAnsiTheme="majorHAnsi" w:cstheme="majorHAnsi"/>
        </w:rPr>
        <w:t xml:space="preserve">Kontakt: </w:t>
      </w:r>
    </w:p>
    <w:p w14:paraId="1C8E47DC" w14:textId="792D19CD" w:rsidR="0030001D" w:rsidRPr="0041792A" w:rsidRDefault="00ED5906" w:rsidP="004001BA">
      <w:pPr>
        <w:pStyle w:val="Listenabsatz"/>
        <w:numPr>
          <w:ilvl w:val="0"/>
          <w:numId w:val="1"/>
        </w:numPr>
        <w:spacing w:after="0" w:line="360" w:lineRule="auto"/>
        <w:rPr>
          <w:rFonts w:asciiTheme="majorHAnsi" w:hAnsiTheme="majorHAnsi" w:cstheme="majorHAnsi"/>
          <w:b/>
          <w:sz w:val="24"/>
          <w:szCs w:val="24"/>
        </w:rPr>
      </w:pPr>
      <w:r w:rsidRPr="0041792A">
        <w:rPr>
          <w:rFonts w:asciiTheme="majorHAnsi" w:eastAsia="Arial" w:hAnsiTheme="majorHAnsi" w:cstheme="majorHAnsi"/>
        </w:rPr>
        <w:t xml:space="preserve">Kay-Uwe Müller, Pressebüro Tschorn &amp; Partner, +49 </w:t>
      </w:r>
      <w:r w:rsidR="00BC0DEC">
        <w:rPr>
          <w:rFonts w:asciiTheme="majorHAnsi" w:eastAsia="Arial" w:hAnsiTheme="majorHAnsi" w:cstheme="majorHAnsi"/>
        </w:rPr>
        <w:t>(0)</w:t>
      </w:r>
      <w:r w:rsidRPr="0041792A">
        <w:rPr>
          <w:rFonts w:asciiTheme="majorHAnsi" w:eastAsia="Arial" w:hAnsiTheme="majorHAnsi" w:cstheme="majorHAnsi"/>
        </w:rPr>
        <w:t>6201 5 78 78,</w:t>
      </w:r>
      <w:r w:rsidRPr="0041792A">
        <w:rPr>
          <w:rFonts w:asciiTheme="majorHAnsi" w:eastAsia="Arial" w:hAnsiTheme="majorHAnsi" w:cstheme="majorHAnsi"/>
        </w:rPr>
        <w:br/>
        <w:t xml:space="preserve">mueller@pressebuero-tschorn.de </w:t>
      </w:r>
      <w:r w:rsidR="006636B2" w:rsidRPr="0041792A">
        <w:rPr>
          <w:rFonts w:asciiTheme="majorHAnsi" w:hAnsiTheme="majorHAnsi" w:cstheme="majorHAnsi"/>
          <w:b/>
          <w:sz w:val="24"/>
          <w:szCs w:val="24"/>
        </w:rPr>
        <w:t>_____________________________________________</w:t>
      </w:r>
      <w:r w:rsidR="007D0643" w:rsidRPr="0041792A">
        <w:rPr>
          <w:rFonts w:asciiTheme="majorHAnsi" w:hAnsiTheme="majorHAnsi" w:cstheme="majorHAnsi"/>
          <w:b/>
          <w:sz w:val="24"/>
          <w:szCs w:val="24"/>
        </w:rPr>
        <w:t>________________</w:t>
      </w:r>
    </w:p>
    <w:p w14:paraId="3C52C9FC" w14:textId="6A6AF7A1" w:rsidR="00A76FE8" w:rsidRPr="0041792A" w:rsidRDefault="00A76FE8" w:rsidP="004001BA">
      <w:pPr>
        <w:spacing w:after="0" w:line="360" w:lineRule="auto"/>
        <w:rPr>
          <w:rFonts w:asciiTheme="majorHAnsi" w:eastAsia="Arial" w:hAnsiTheme="majorHAnsi" w:cstheme="majorHAnsi"/>
          <w:b/>
          <w:bCs/>
        </w:rPr>
      </w:pPr>
    </w:p>
    <w:p w14:paraId="37054CF6" w14:textId="40A99F56" w:rsidR="00540670" w:rsidRDefault="00540670" w:rsidP="00540670">
      <w:pPr>
        <w:spacing w:after="0" w:line="360" w:lineRule="auto"/>
        <w:rPr>
          <w:sz w:val="32"/>
          <w:szCs w:val="32"/>
        </w:rPr>
      </w:pPr>
      <w:r>
        <w:rPr>
          <w:sz w:val="32"/>
          <w:szCs w:val="32"/>
        </w:rPr>
        <w:t xml:space="preserve">Briggs &amp; Stratton und </w:t>
      </w:r>
      <w:proofErr w:type="spellStart"/>
      <w:r>
        <w:rPr>
          <w:sz w:val="32"/>
          <w:szCs w:val="32"/>
        </w:rPr>
        <w:t>Mobotic</w:t>
      </w:r>
      <w:proofErr w:type="spellEnd"/>
      <w:r>
        <w:rPr>
          <w:sz w:val="32"/>
          <w:szCs w:val="32"/>
        </w:rPr>
        <w:t xml:space="preserve"> GmbH bündeln Kräfte für Innovation</w:t>
      </w:r>
      <w:r w:rsidR="00035743">
        <w:rPr>
          <w:sz w:val="32"/>
          <w:szCs w:val="32"/>
        </w:rPr>
        <w:t>en</w:t>
      </w:r>
      <w:r>
        <w:rPr>
          <w:sz w:val="32"/>
          <w:szCs w:val="32"/>
        </w:rPr>
        <w:t xml:space="preserve"> in der mobilen Robotik </w:t>
      </w:r>
    </w:p>
    <w:p w14:paraId="61665AB3" w14:textId="77777777" w:rsidR="00540670" w:rsidRDefault="00540670" w:rsidP="00540670">
      <w:pPr>
        <w:spacing w:after="0" w:line="360" w:lineRule="auto"/>
        <w:rPr>
          <w:i/>
        </w:rPr>
      </w:pPr>
      <w:r>
        <w:rPr>
          <w:i/>
        </w:rPr>
        <w:t>Kooperation für maßgeschneiderte Energielösungen</w:t>
      </w:r>
    </w:p>
    <w:p w14:paraId="2EB25CFF" w14:textId="77777777" w:rsidR="00540670" w:rsidRDefault="00540670" w:rsidP="00540670">
      <w:pPr>
        <w:spacing w:after="0" w:line="360" w:lineRule="auto"/>
      </w:pPr>
    </w:p>
    <w:p w14:paraId="0BA65F8F" w14:textId="77777777" w:rsidR="00540670" w:rsidRDefault="00540670" w:rsidP="00540670">
      <w:pPr>
        <w:spacing w:after="0" w:line="360" w:lineRule="auto"/>
      </w:pPr>
      <w:r>
        <w:rPr>
          <w:b/>
        </w:rPr>
        <w:t>Freienbach, Oktober 2025</w:t>
      </w:r>
      <w:r>
        <w:t xml:space="preserve"> – Briggs &amp; Stratton hat mit der </w:t>
      </w:r>
      <w:proofErr w:type="spellStart"/>
      <w:r>
        <w:t>Mobotic</w:t>
      </w:r>
      <w:proofErr w:type="spellEnd"/>
      <w:r>
        <w:t xml:space="preserve"> GmbH ein neues Mitglied in sein Netzwerk für Vanguard-Technologiepartner aufgenommen. Mit der Zusammenarbeit wird der Verbund spezialisierter Unternehmen erweitert, die kleine und mittelgroße Erstausrüster (OEMs) bei der Entwicklung elektrifizierter Anwendungen unterstützen. Im Mittelpunkt steht dabei die Nutzung des Vanguard Si1.5 Wechselakkus, der flexible und anwendungsorientierte Energielösungen für mobile Systeme ermöglicht.</w:t>
      </w:r>
    </w:p>
    <w:p w14:paraId="08AC97EA" w14:textId="77777777" w:rsidR="00540670" w:rsidRDefault="00540670" w:rsidP="00540670">
      <w:pPr>
        <w:spacing w:after="0" w:line="360" w:lineRule="auto"/>
      </w:pPr>
    </w:p>
    <w:p w14:paraId="604CB0DE" w14:textId="77777777" w:rsidR="00540670" w:rsidRDefault="00540670" w:rsidP="00540670">
      <w:pPr>
        <w:spacing w:after="0" w:line="360" w:lineRule="auto"/>
        <w:rPr>
          <w:b/>
        </w:rPr>
      </w:pPr>
      <w:r>
        <w:rPr>
          <w:b/>
        </w:rPr>
        <w:t>Kompetenz in Antriebs- und Akkusystemen</w:t>
      </w:r>
    </w:p>
    <w:p w14:paraId="792A0BB6" w14:textId="77777777" w:rsidR="00540670" w:rsidRDefault="00540670" w:rsidP="00540670">
      <w:pPr>
        <w:spacing w:after="0" w:line="360" w:lineRule="auto"/>
      </w:pPr>
      <w:r>
        <w:t xml:space="preserve">Die in München ansässige </w:t>
      </w:r>
      <w:proofErr w:type="spellStart"/>
      <w:r>
        <w:t>Mobotic</w:t>
      </w:r>
      <w:proofErr w:type="spellEnd"/>
      <w:r>
        <w:t xml:space="preserve"> GmbH entwickelt und liefert kompakte, modulare und leistungsstarke Antriebssysteme sowie Komponenten für mobile Roboter. Eingesetzt werden diese Systeme unter anderem in Logistik, Fertigung, Landwirtschaft, Sicherheitstechnik, Gesundheitswesen und beim Schwerlasttransport. Bekannt ist das Unternehmen vor allem für die </w:t>
      </w:r>
      <w:r w:rsidRPr="008F1BDB">
        <w:t xml:space="preserve">Produktfamilie </w:t>
      </w:r>
      <w:proofErr w:type="spellStart"/>
      <w:r w:rsidRPr="008F1BDB">
        <w:t>MoboDrive</w:t>
      </w:r>
      <w:proofErr w:type="spellEnd"/>
      <w:r w:rsidRPr="008F1BDB">
        <w:t>, die</w:t>
      </w:r>
      <w:r>
        <w:t xml:space="preserve"> in einer Vielzahl autonomer mobiler Roboter (AMRs) und mobiler Maschinen Anwendung findet. Durch die Kooperation mit Briggs &amp; Stratton wird </w:t>
      </w:r>
      <w:r>
        <w:lastRenderedPageBreak/>
        <w:t>das Portfolio um robuste Akkusysteme ergänzt, die hohe Leistung und Betriebssicherheit vereinen.</w:t>
      </w:r>
    </w:p>
    <w:p w14:paraId="5D1047DE" w14:textId="77777777" w:rsidR="00540670" w:rsidRDefault="00540670" w:rsidP="00540670">
      <w:pPr>
        <w:spacing w:after="0" w:line="360" w:lineRule="auto"/>
      </w:pPr>
    </w:p>
    <w:p w14:paraId="54A1E823" w14:textId="77777777" w:rsidR="00540670" w:rsidRDefault="00540670" w:rsidP="00540670">
      <w:pPr>
        <w:spacing w:after="0" w:line="360" w:lineRule="auto"/>
        <w:rPr>
          <w:b/>
        </w:rPr>
      </w:pPr>
      <w:r>
        <w:rPr>
          <w:b/>
        </w:rPr>
        <w:t>Vorteile für Anwender und OEMs</w:t>
      </w:r>
    </w:p>
    <w:p w14:paraId="62537468" w14:textId="77777777" w:rsidR="00540670" w:rsidRDefault="00540670" w:rsidP="00540670">
      <w:pPr>
        <w:spacing w:after="0" w:line="360" w:lineRule="auto"/>
      </w:pPr>
      <w:r>
        <w:t xml:space="preserve">Durch die Integration der Vanguard-Akkus gewinnen die Lösungen von </w:t>
      </w:r>
      <w:proofErr w:type="spellStart"/>
      <w:r>
        <w:t>Mobotic</w:t>
      </w:r>
      <w:proofErr w:type="spellEnd"/>
      <w:r>
        <w:t xml:space="preserve"> an Flexibilität und Effizienz. Die kompakten Abmessungen und das platzsparende Design der Energiespeicher erleichtern die Integration in mobile Anwendungen, bei denen Raum und Betriebszeit entscheidende Faktoren sind. Kunden profitieren zudem von </w:t>
      </w:r>
      <w:proofErr w:type="spellStart"/>
      <w:r>
        <w:t>plug</w:t>
      </w:r>
      <w:proofErr w:type="spellEnd"/>
      <w:r>
        <w:t>-and-play-fähigen Systemen, die nicht nur die Produktion vereinfachen, sondern auch den Wartungsaufwand reduzieren.</w:t>
      </w:r>
    </w:p>
    <w:p w14:paraId="36A5B6FD" w14:textId="77777777" w:rsidR="00540670" w:rsidRDefault="00540670" w:rsidP="00540670">
      <w:pPr>
        <w:spacing w:after="0" w:line="360" w:lineRule="auto"/>
      </w:pPr>
    </w:p>
    <w:p w14:paraId="0E69CF65" w14:textId="77777777" w:rsidR="00540670" w:rsidRDefault="00540670" w:rsidP="00540670">
      <w:pPr>
        <w:spacing w:after="0" w:line="360" w:lineRule="auto"/>
        <w:rPr>
          <w:b/>
        </w:rPr>
      </w:pPr>
      <w:r>
        <w:rPr>
          <w:b/>
        </w:rPr>
        <w:t>Partnerschaft mit langfristiger Perspektive</w:t>
      </w:r>
    </w:p>
    <w:p w14:paraId="0C46141C" w14:textId="77777777" w:rsidR="00540670" w:rsidRDefault="00540670" w:rsidP="00540670">
      <w:pPr>
        <w:spacing w:after="0" w:line="360" w:lineRule="auto"/>
      </w:pPr>
      <w:r>
        <w:t xml:space="preserve">Die Zusammenarbeit verbindet die Expertise von </w:t>
      </w:r>
      <w:proofErr w:type="spellStart"/>
      <w:r>
        <w:t>Mobotic</w:t>
      </w:r>
      <w:proofErr w:type="spellEnd"/>
      <w:r>
        <w:t xml:space="preserve"> im Bereich der mobilen Robotik mit der jahrzehntelangen Erfahrung von Briggs &amp; Stratton bei professionellen Energielösungen. Ziel ist es, OEMs und Anwendern in der EMEA-Region sowie international zuverlässige und zukunftssichere Systeme zur Verfügung zu stellen.</w:t>
      </w:r>
    </w:p>
    <w:p w14:paraId="777E3569" w14:textId="77777777" w:rsidR="00540670" w:rsidRDefault="00540670" w:rsidP="00540670">
      <w:pPr>
        <w:spacing w:after="0" w:line="360" w:lineRule="auto"/>
      </w:pPr>
    </w:p>
    <w:p w14:paraId="3FD3E2AC" w14:textId="77777777" w:rsidR="00540670" w:rsidRDefault="00540670" w:rsidP="00540670">
      <w:pPr>
        <w:spacing w:after="0" w:line="360" w:lineRule="auto"/>
      </w:pPr>
      <w:proofErr w:type="spellStart"/>
      <w:r>
        <w:t>Sjoerd</w:t>
      </w:r>
      <w:proofErr w:type="spellEnd"/>
      <w:r>
        <w:t xml:space="preserve"> van de Velde, Managing Director Briggs &amp; Stratton EMEA, betont die Bedeutung des Netzwerks: „Das Vanguard-Netzwerk für Technologiepartner ist darauf ausgelegt, OEM-Kunden die Unterstützung zu geben, die sie für die Elektrifizierung ihrer Produkte benötigen. Mit der </w:t>
      </w:r>
      <w:proofErr w:type="spellStart"/>
      <w:r>
        <w:t>Mobotic</w:t>
      </w:r>
      <w:proofErr w:type="spellEnd"/>
      <w:r>
        <w:t xml:space="preserve"> GmbH gewinnen wir einen Spezialisten, der durch seine Expertise in der mobilen Robotik und seine Innovationskraft unser Netzwerk sinnvoll erweitert.“ Das Netzwerk umfasst Partner in zahlreichen Ländern der EMEA-Region und gewährleistet so eine umfassende Unterstützung und kurze Wege für Vanguard-Kunden. Diese enge Zusammenarbeit ist besonders wichtig, da viele Hersteller aktuell dabei </w:t>
      </w:r>
      <w:proofErr w:type="gramStart"/>
      <w:r>
        <w:t>sind</w:t>
      </w:r>
      <w:proofErr w:type="gramEnd"/>
      <w:r>
        <w:t>, ihre Kompetenzen im Bereich Elektrifizierung erst aufzubauen. Durch die Bündelung von Know-how innerhalb des Netzwerks können sie gezielt dabei unterstützt werden, ihre Produkte zukunftssicher und wettbewerbsfähig zu entwickeln.</w:t>
      </w:r>
    </w:p>
    <w:p w14:paraId="3EABBF1F" w14:textId="77777777" w:rsidR="00540670" w:rsidRDefault="00540670" w:rsidP="00540670">
      <w:pPr>
        <w:spacing w:after="0" w:line="360" w:lineRule="auto"/>
      </w:pPr>
    </w:p>
    <w:p w14:paraId="5DCFCB8C" w14:textId="77777777" w:rsidR="00540670" w:rsidRDefault="00540670" w:rsidP="00540670">
      <w:pPr>
        <w:spacing w:after="0" w:line="360" w:lineRule="auto"/>
      </w:pPr>
      <w:r>
        <w:lastRenderedPageBreak/>
        <w:t xml:space="preserve">Auch Gregor </w:t>
      </w:r>
      <w:proofErr w:type="spellStart"/>
      <w:r>
        <w:t>Modrijan</w:t>
      </w:r>
      <w:proofErr w:type="spellEnd"/>
      <w:r>
        <w:t xml:space="preserve">, Geschäftsführer der </w:t>
      </w:r>
      <w:proofErr w:type="spellStart"/>
      <w:r>
        <w:t>Mobotic</w:t>
      </w:r>
      <w:proofErr w:type="spellEnd"/>
      <w:r>
        <w:t xml:space="preserve"> GmbH, sieht in der Zusammenarbeit große Chancen: „Die Partnerschaft ermöglicht es uns, leistungsstarke Komplettlösungen für die mobile Robotik bereitzustellen. Briggs &amp; Stratton ist dabei ein verlässlicher Partner, der sowohl kontinuierliche Projektsicherheit bietet als auch die besonderen Anforderungen unserer Branche versteht.“</w:t>
      </w:r>
    </w:p>
    <w:p w14:paraId="174E838E" w14:textId="77777777" w:rsidR="00754377" w:rsidRDefault="00754377" w:rsidP="00540670">
      <w:pPr>
        <w:spacing w:after="0" w:line="360" w:lineRule="auto"/>
      </w:pPr>
    </w:p>
    <w:p w14:paraId="5F8A63BC" w14:textId="77777777" w:rsidR="00754377" w:rsidRPr="00754377" w:rsidRDefault="00754377" w:rsidP="00754377">
      <w:pPr>
        <w:spacing w:after="0" w:line="360" w:lineRule="auto"/>
      </w:pPr>
      <w:hyperlink r:id="rId11" w:tgtFrame="_blank" w:history="1">
        <w:r w:rsidRPr="00754377">
          <w:rPr>
            <w:rStyle w:val="Hyperlink"/>
          </w:rPr>
          <w:t>www.BriggsAndStratton.com</w:t>
        </w:r>
      </w:hyperlink>
    </w:p>
    <w:p w14:paraId="5B2115C9" w14:textId="77777777" w:rsidR="00754377" w:rsidRPr="00754377" w:rsidRDefault="00754377" w:rsidP="00754377">
      <w:pPr>
        <w:spacing w:after="0" w:line="360" w:lineRule="auto"/>
      </w:pPr>
      <w:hyperlink r:id="rId12" w:tgtFrame="_blank" w:history="1">
        <w:r w:rsidRPr="00754377">
          <w:rPr>
            <w:rStyle w:val="Hyperlink"/>
          </w:rPr>
          <w:t>www.VanguardPower.com</w:t>
        </w:r>
      </w:hyperlink>
      <w:r w:rsidRPr="00754377">
        <w:t> </w:t>
      </w:r>
    </w:p>
    <w:p w14:paraId="07C0980C" w14:textId="77777777" w:rsidR="00540670" w:rsidRDefault="00540670" w:rsidP="00540670">
      <w:pPr>
        <w:spacing w:after="0" w:line="360" w:lineRule="auto"/>
      </w:pPr>
    </w:p>
    <w:p w14:paraId="0295C434" w14:textId="77777777" w:rsidR="00540670" w:rsidRPr="00540670" w:rsidRDefault="00540670" w:rsidP="00540670">
      <w:pPr>
        <w:spacing w:after="0" w:line="360" w:lineRule="auto"/>
        <w:rPr>
          <w:lang w:val="en-GB"/>
        </w:rPr>
      </w:pPr>
      <w:r w:rsidRPr="00540670">
        <w:rPr>
          <w:lang w:val="en-GB"/>
        </w:rPr>
        <w:t>Fotos: Briggs &amp; Stratton</w:t>
      </w:r>
    </w:p>
    <w:p w14:paraId="4694A913" w14:textId="77777777" w:rsidR="00540670" w:rsidRPr="00540670" w:rsidRDefault="00540670" w:rsidP="00540670">
      <w:pPr>
        <w:spacing w:after="0" w:line="360" w:lineRule="auto"/>
        <w:rPr>
          <w:lang w:val="en-GB"/>
        </w:rPr>
      </w:pPr>
    </w:p>
    <w:p w14:paraId="502721DC" w14:textId="77777777" w:rsidR="00540670" w:rsidRPr="00A366B7" w:rsidRDefault="00540670" w:rsidP="00540670">
      <w:pPr>
        <w:spacing w:after="0" w:line="360" w:lineRule="auto"/>
        <w:rPr>
          <w:i/>
          <w:sz w:val="20"/>
          <w:szCs w:val="20"/>
          <w:lang w:val="en-GB"/>
        </w:rPr>
      </w:pPr>
      <w:r>
        <w:rPr>
          <w:noProof/>
        </w:rPr>
        <w:drawing>
          <wp:inline distT="0" distB="0" distL="0" distR="0" wp14:anchorId="2A39244B" wp14:editId="6D320AB7">
            <wp:extent cx="2124075" cy="2876550"/>
            <wp:effectExtent l="0" t="0" r="9525" b="0"/>
            <wp:docPr id="538591337"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1337" name="Grafik 2" descr="Ein Bild, das Menschliches Gesicht, Person, Lächeln, Kleidung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876550"/>
                    </a:xfrm>
                    <a:prstGeom prst="rect">
                      <a:avLst/>
                    </a:prstGeom>
                    <a:noFill/>
                    <a:ln>
                      <a:noFill/>
                    </a:ln>
                  </pic:spPr>
                </pic:pic>
              </a:graphicData>
            </a:graphic>
          </wp:inline>
        </w:drawing>
      </w:r>
      <w:r w:rsidRPr="00540670">
        <w:rPr>
          <w:i/>
          <w:sz w:val="20"/>
          <w:szCs w:val="20"/>
          <w:lang w:val="en-GB"/>
        </w:rPr>
        <w:tab/>
      </w:r>
      <w:r w:rsidRPr="00540670">
        <w:rPr>
          <w:i/>
          <w:sz w:val="20"/>
          <w:szCs w:val="20"/>
          <w:lang w:val="en-GB"/>
        </w:rPr>
        <w:tab/>
      </w:r>
      <w:r>
        <w:rPr>
          <w:noProof/>
        </w:rPr>
        <w:drawing>
          <wp:inline distT="0" distB="0" distL="0" distR="0" wp14:anchorId="33D1F489" wp14:editId="189EEE89">
            <wp:extent cx="1924050" cy="2876550"/>
            <wp:effectExtent l="0" t="0" r="0" b="0"/>
            <wp:docPr id="2059553099" name="Grafik 1" descr="Ein Bild, das Person, Menschliches Gesicht, Lächeln, Shi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53099" name="Grafik 1" descr="Ein Bild, das Person, Menschliches Gesicht, Lächeln, Shirt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2876550"/>
                    </a:xfrm>
                    <a:prstGeom prst="rect">
                      <a:avLst/>
                    </a:prstGeom>
                    <a:noFill/>
                    <a:ln>
                      <a:noFill/>
                    </a:ln>
                  </pic:spPr>
                </pic:pic>
              </a:graphicData>
            </a:graphic>
          </wp:inline>
        </w:drawing>
      </w:r>
      <w:r w:rsidRPr="00540670">
        <w:rPr>
          <w:i/>
          <w:sz w:val="20"/>
          <w:szCs w:val="20"/>
          <w:lang w:val="en-GB"/>
        </w:rPr>
        <w:tab/>
      </w:r>
      <w:r w:rsidRPr="00CA57B3">
        <w:rPr>
          <w:i/>
          <w:sz w:val="20"/>
          <w:szCs w:val="20"/>
          <w:lang w:val="en-GB"/>
        </w:rPr>
        <w:t xml:space="preserve"> </w:t>
      </w:r>
      <w:r w:rsidRPr="00A366B7">
        <w:rPr>
          <w:i/>
          <w:sz w:val="20"/>
          <w:szCs w:val="20"/>
          <w:lang w:val="en-GB"/>
        </w:rPr>
        <w:t>Gregor Modrijan,</w:t>
      </w:r>
      <w:r w:rsidRPr="00A366B7">
        <w:rPr>
          <w:i/>
          <w:sz w:val="20"/>
          <w:szCs w:val="20"/>
          <w:lang w:val="en-GB"/>
        </w:rPr>
        <w:tab/>
      </w:r>
      <w:r w:rsidRPr="00A366B7">
        <w:rPr>
          <w:i/>
          <w:sz w:val="20"/>
          <w:szCs w:val="20"/>
          <w:lang w:val="en-GB"/>
        </w:rPr>
        <w:tab/>
      </w:r>
      <w:r w:rsidRPr="00A366B7">
        <w:rPr>
          <w:i/>
          <w:sz w:val="20"/>
          <w:szCs w:val="20"/>
          <w:lang w:val="en-GB"/>
        </w:rPr>
        <w:tab/>
      </w:r>
      <w:r w:rsidRPr="00A366B7">
        <w:rPr>
          <w:i/>
          <w:sz w:val="20"/>
          <w:szCs w:val="20"/>
          <w:lang w:val="en-GB"/>
        </w:rPr>
        <w:tab/>
      </w:r>
      <w:r>
        <w:rPr>
          <w:i/>
          <w:sz w:val="20"/>
          <w:szCs w:val="20"/>
          <w:lang w:val="en-GB"/>
        </w:rPr>
        <w:tab/>
      </w:r>
      <w:r w:rsidRPr="00A366B7">
        <w:rPr>
          <w:i/>
          <w:sz w:val="20"/>
          <w:szCs w:val="20"/>
          <w:lang w:val="en-GB"/>
        </w:rPr>
        <w:t>Sjoerd Van de Velde,</w:t>
      </w:r>
    </w:p>
    <w:p w14:paraId="084ACB3E" w14:textId="77777777" w:rsidR="00540670" w:rsidRPr="00A366B7" w:rsidRDefault="00540670" w:rsidP="00540670">
      <w:pPr>
        <w:spacing w:after="0" w:line="360" w:lineRule="auto"/>
        <w:rPr>
          <w:i/>
          <w:sz w:val="20"/>
          <w:szCs w:val="20"/>
          <w:lang w:val="en-GB"/>
        </w:rPr>
      </w:pPr>
      <w:r w:rsidRPr="00A366B7">
        <w:rPr>
          <w:i/>
          <w:sz w:val="20"/>
          <w:szCs w:val="20"/>
          <w:lang w:val="en-GB"/>
        </w:rPr>
        <w:t xml:space="preserve">CEO </w:t>
      </w:r>
      <w:proofErr w:type="spellStart"/>
      <w:r w:rsidRPr="00A366B7">
        <w:rPr>
          <w:i/>
          <w:sz w:val="20"/>
          <w:szCs w:val="20"/>
          <w:lang w:val="en-GB"/>
        </w:rPr>
        <w:t>Mobotic</w:t>
      </w:r>
      <w:proofErr w:type="spellEnd"/>
      <w:r w:rsidRPr="00A366B7">
        <w:rPr>
          <w:i/>
          <w:sz w:val="20"/>
          <w:szCs w:val="20"/>
          <w:lang w:val="en-GB"/>
        </w:rPr>
        <w:tab/>
      </w:r>
      <w:r w:rsidRPr="00A366B7">
        <w:rPr>
          <w:i/>
          <w:sz w:val="20"/>
          <w:szCs w:val="20"/>
          <w:lang w:val="en-GB"/>
        </w:rPr>
        <w:tab/>
      </w:r>
      <w:r w:rsidRPr="00A366B7">
        <w:rPr>
          <w:i/>
          <w:sz w:val="20"/>
          <w:szCs w:val="20"/>
          <w:lang w:val="en-GB"/>
        </w:rPr>
        <w:tab/>
      </w:r>
      <w:r w:rsidRPr="00A366B7">
        <w:rPr>
          <w:i/>
          <w:sz w:val="20"/>
          <w:szCs w:val="20"/>
          <w:lang w:val="en-GB"/>
        </w:rPr>
        <w:tab/>
      </w:r>
      <w:r w:rsidRPr="00A366B7">
        <w:rPr>
          <w:i/>
          <w:sz w:val="20"/>
          <w:szCs w:val="20"/>
          <w:lang w:val="en-GB"/>
        </w:rPr>
        <w:tab/>
        <w:t>MD Briggs &amp; Stratton EMEA</w:t>
      </w:r>
    </w:p>
    <w:p w14:paraId="3863C697" w14:textId="77777777" w:rsidR="00540670" w:rsidRPr="00A366B7" w:rsidRDefault="00540670" w:rsidP="00540670">
      <w:pPr>
        <w:spacing w:after="0" w:line="360" w:lineRule="auto"/>
        <w:rPr>
          <w:lang w:val="en-GB"/>
        </w:rPr>
      </w:pPr>
    </w:p>
    <w:p w14:paraId="66C66A1E" w14:textId="77777777" w:rsidR="00540670" w:rsidRPr="00A366B7" w:rsidRDefault="00540670" w:rsidP="00540670">
      <w:pPr>
        <w:spacing w:after="0" w:line="360" w:lineRule="auto"/>
        <w:rPr>
          <w:i/>
          <w:sz w:val="20"/>
          <w:szCs w:val="20"/>
          <w:lang w:val="en-GB"/>
        </w:rPr>
      </w:pPr>
    </w:p>
    <w:p w14:paraId="64E1E3E0" w14:textId="77777777" w:rsidR="00540670" w:rsidRDefault="00540670" w:rsidP="00540670">
      <w:r>
        <w:t>Ü</w:t>
      </w:r>
      <w:r>
        <w:rPr>
          <w:b/>
        </w:rPr>
        <w:t>ber Briggs &amp; Stratton / Vanguard:</w:t>
      </w:r>
    </w:p>
    <w:p w14:paraId="48F0068E" w14:textId="77777777" w:rsidR="00540670" w:rsidRDefault="00540670" w:rsidP="00540670">
      <w:pPr>
        <w:spacing w:after="0" w:line="360" w:lineRule="auto"/>
      </w:pPr>
      <w:r>
        <w:lastRenderedPageBreak/>
        <w:t xml:space="preserve">Briggs &amp; Stratton mit Hauptsitz in Milwaukee, Wisconsin, ist darauf ausgerichtet, Antriebstechnik für die unterschiedlichsten Aufgaben anzubieten und den Komfort für Anwender zu verbessern. Briggs &amp; Stratton ist der weltweit größte Hersteller von Benzinmotoren für motorisierte Gartengeräte und ein führender Entwickler, Hersteller und Vermarkter von </w:t>
      </w:r>
      <w:r>
        <w:rPr>
          <w:highlight w:val="white"/>
        </w:rPr>
        <w:t xml:space="preserve">Lithium-Ionen-Akkus, </w:t>
      </w:r>
      <w:r>
        <w:t xml:space="preserve">Stromerzeugungs-, Hochdruckreiniger-, Rasen- und Garten-, Rasenpflege- und Baustellenprodukten. Zu seinen Marken zählen Briggs &amp; Stratton®, Vanguard®, Ferris®, </w:t>
      </w:r>
      <w:proofErr w:type="spellStart"/>
      <w:r>
        <w:t>Simplicity</w:t>
      </w:r>
      <w:proofErr w:type="spellEnd"/>
      <w:r>
        <w:t xml:space="preserve">®, Snapper®, Billy Goat®, </w:t>
      </w:r>
      <w:proofErr w:type="spellStart"/>
      <w:r>
        <w:t>Allmand</w:t>
      </w:r>
      <w:proofErr w:type="spellEnd"/>
      <w:r>
        <w:t xml:space="preserve">®, Branco® und </w:t>
      </w:r>
      <w:proofErr w:type="spellStart"/>
      <w:r>
        <w:t>Victa</w:t>
      </w:r>
      <w:proofErr w:type="spellEnd"/>
      <w:r>
        <w:t xml:space="preserve">®. Produkte von Briggs &amp; Stratton werden in über 100 Ländern auf sechs Kontinenten entwickelt, hergestellt, vermarktet und gewartet. Weitere Informationen finden Sie unter www.briggsandstratton.com. </w:t>
      </w:r>
    </w:p>
    <w:p w14:paraId="3B384AEE" w14:textId="77777777" w:rsidR="00540670" w:rsidRDefault="00540670" w:rsidP="00540670">
      <w:pPr>
        <w:spacing w:after="0" w:line="360" w:lineRule="auto"/>
      </w:pPr>
    </w:p>
    <w:p w14:paraId="799F6207" w14:textId="77777777" w:rsidR="00540670" w:rsidRDefault="00540670" w:rsidP="00540670">
      <w:pPr>
        <w:spacing w:after="0" w:line="360" w:lineRule="auto"/>
      </w:pPr>
      <w:r>
        <w:t>Vanguard® unterstützt professionelle Anwender dabei, ihre Arbeit effizient zu erledigen – mit leistungsstarken Lösungen für ihre individuellen gewerblichen Anwendungen. Seit über 35 Jahren arbeitet Vanguard® eng mit seinen Kunden zusammen, um Herausforderungen zu meistern und innovative Produkte zu entwickeln. Dabei liefert Vanguard® nicht einfach nur Komponenten, sondern begleitet seine Kunden über den gesamten Integrationsprozess hinweg: von der Entwicklung über die Serienproduktion bis hin zu Schulung, After-Sales- und Serviceunterstützung – für den optimalen Einsatz von Lithium-Ionen-Akkusystemen ebenso wie für Benzin-Antriebssysteme im professionellen Bereich.</w:t>
      </w:r>
    </w:p>
    <w:p w14:paraId="72809103" w14:textId="77777777" w:rsidR="00540670" w:rsidRDefault="00540670" w:rsidP="00540670">
      <w:pPr>
        <w:spacing w:after="0" w:line="360" w:lineRule="auto"/>
      </w:pPr>
    </w:p>
    <w:p w14:paraId="494824A3" w14:textId="77777777" w:rsidR="00540670" w:rsidRDefault="00540670" w:rsidP="00540670">
      <w:pPr>
        <w:spacing w:after="0" w:line="360" w:lineRule="auto"/>
        <w:rPr>
          <w:b/>
        </w:rPr>
      </w:pPr>
      <w:r>
        <w:rPr>
          <w:b/>
        </w:rPr>
        <w:t xml:space="preserve">Über </w:t>
      </w:r>
      <w:proofErr w:type="spellStart"/>
      <w:r>
        <w:rPr>
          <w:b/>
        </w:rPr>
        <w:t>Mobotic</w:t>
      </w:r>
      <w:proofErr w:type="spellEnd"/>
      <w:r>
        <w:rPr>
          <w:b/>
        </w:rPr>
        <w:t xml:space="preserve"> GmbH:</w:t>
      </w:r>
    </w:p>
    <w:p w14:paraId="6FB2677D" w14:textId="77777777" w:rsidR="00540670" w:rsidRDefault="00540670" w:rsidP="00540670">
      <w:pPr>
        <w:spacing w:after="0" w:line="360" w:lineRule="auto"/>
      </w:pPr>
      <w:r>
        <w:t xml:space="preserve">Die </w:t>
      </w:r>
      <w:proofErr w:type="spellStart"/>
      <w:r>
        <w:t>Mobotic</w:t>
      </w:r>
      <w:proofErr w:type="spellEnd"/>
      <w:r>
        <w:t xml:space="preserve"> GmbH ist ein führendes Unternehmen im Bereich der mobilen Robotik und spezialisiert auf die Entwicklung, Konstruktion und Optimierung von Systemen der nächsten Generation, fortschrittlichen Antriebstechnologien und entsprechenden Komponenten. Als Innovationsführer liefert das Unternehmen hochentwickelte Lösungen, die autonome Plattformen und Anwendungen der Elektromobilität ermöglichen – von Fahrerlosen Transportsystemen (AGVs) und Autonomen Mobilen Robotern (AMRs) über Agrarroboter (</w:t>
      </w:r>
      <w:proofErr w:type="spellStart"/>
      <w:r>
        <w:t>Agrobots</w:t>
      </w:r>
      <w:proofErr w:type="spellEnd"/>
      <w:r>
        <w:t xml:space="preserve">) und </w:t>
      </w:r>
      <w:proofErr w:type="spellStart"/>
      <w:r>
        <w:t>Robotaxis</w:t>
      </w:r>
      <w:proofErr w:type="spellEnd"/>
      <w:r>
        <w:t xml:space="preserve"> bis hin zu Autonomen Lieferrobotern (ADR) und Elektrofahrzeugen (EVs).</w:t>
      </w:r>
    </w:p>
    <w:p w14:paraId="525CC298" w14:textId="77777777" w:rsidR="006B674D" w:rsidRPr="006B674D" w:rsidRDefault="006B674D" w:rsidP="00540670">
      <w:pPr>
        <w:spacing w:after="0" w:line="360" w:lineRule="auto"/>
      </w:pPr>
    </w:p>
    <w:sectPr w:rsidR="006B674D" w:rsidRPr="006B674D" w:rsidSect="004001BA">
      <w:headerReference w:type="default" r:id="rId15"/>
      <w:type w:val="continuous"/>
      <w:pgSz w:w="12240" w:h="15840"/>
      <w:pgMar w:top="2694" w:right="245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F72F" w14:textId="77777777" w:rsidR="0033354B" w:rsidRPr="0041792A" w:rsidRDefault="0033354B">
      <w:pPr>
        <w:spacing w:after="0" w:line="240" w:lineRule="auto"/>
      </w:pPr>
      <w:r w:rsidRPr="0041792A">
        <w:separator/>
      </w:r>
    </w:p>
  </w:endnote>
  <w:endnote w:type="continuationSeparator" w:id="0">
    <w:p w14:paraId="677918B0" w14:textId="77777777" w:rsidR="0033354B" w:rsidRPr="0041792A" w:rsidRDefault="0033354B">
      <w:pPr>
        <w:spacing w:after="0" w:line="240" w:lineRule="auto"/>
      </w:pPr>
      <w:r w:rsidRPr="00417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99E0" w14:textId="77777777" w:rsidR="0033354B" w:rsidRPr="0041792A" w:rsidRDefault="0033354B">
      <w:pPr>
        <w:spacing w:after="0" w:line="240" w:lineRule="auto"/>
      </w:pPr>
      <w:r w:rsidRPr="0041792A">
        <w:separator/>
      </w:r>
    </w:p>
  </w:footnote>
  <w:footnote w:type="continuationSeparator" w:id="0">
    <w:p w14:paraId="7EE88E19" w14:textId="77777777" w:rsidR="0033354B" w:rsidRPr="0041792A" w:rsidRDefault="0033354B">
      <w:pPr>
        <w:spacing w:after="0" w:line="240" w:lineRule="auto"/>
      </w:pPr>
      <w:r w:rsidRPr="00417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852" w14:textId="0628A63C" w:rsidR="00305B36" w:rsidRPr="0041792A" w:rsidRDefault="00FE03AC">
    <w:pPr>
      <w:pStyle w:val="Kopfzeile"/>
    </w:pPr>
    <w:r w:rsidRPr="0041792A">
      <w:rPr>
        <w:noProof/>
        <w:lang w:eastAsia="de-DE"/>
      </w:rPr>
      <w:drawing>
        <wp:inline distT="0" distB="0" distL="0" distR="0" wp14:anchorId="032B9A44" wp14:editId="694138B0">
          <wp:extent cx="5975371" cy="835025"/>
          <wp:effectExtent l="0" t="0" r="6350" b="3175"/>
          <wp:docPr id="1236413695" name="Grafik 123641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962" cy="835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1C8"/>
    <w:multiLevelType w:val="hybridMultilevel"/>
    <w:tmpl w:val="2CA2A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33EEC"/>
    <w:multiLevelType w:val="multilevel"/>
    <w:tmpl w:val="4574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800CF7"/>
    <w:multiLevelType w:val="hybridMultilevel"/>
    <w:tmpl w:val="D49CDC1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2073506727">
    <w:abstractNumId w:val="0"/>
  </w:num>
  <w:num w:numId="2" w16cid:durableId="2137672798">
    <w:abstractNumId w:val="1"/>
  </w:num>
  <w:num w:numId="3" w16cid:durableId="1768307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D"/>
    <w:rsid w:val="00002AFA"/>
    <w:rsid w:val="00013B7B"/>
    <w:rsid w:val="00013C8A"/>
    <w:rsid w:val="0001446D"/>
    <w:rsid w:val="000174A9"/>
    <w:rsid w:val="00017E2C"/>
    <w:rsid w:val="00021E93"/>
    <w:rsid w:val="00023621"/>
    <w:rsid w:val="00030ED9"/>
    <w:rsid w:val="00035743"/>
    <w:rsid w:val="00040C2C"/>
    <w:rsid w:val="00047127"/>
    <w:rsid w:val="00053833"/>
    <w:rsid w:val="00057541"/>
    <w:rsid w:val="00067377"/>
    <w:rsid w:val="000709C9"/>
    <w:rsid w:val="000747F8"/>
    <w:rsid w:val="00090003"/>
    <w:rsid w:val="00092D0A"/>
    <w:rsid w:val="0009732C"/>
    <w:rsid w:val="00097FD0"/>
    <w:rsid w:val="000A2753"/>
    <w:rsid w:val="000A787B"/>
    <w:rsid w:val="000B4012"/>
    <w:rsid w:val="000C1C1B"/>
    <w:rsid w:val="000C5C68"/>
    <w:rsid w:val="000D1B24"/>
    <w:rsid w:val="000D1B64"/>
    <w:rsid w:val="000D4A64"/>
    <w:rsid w:val="000D50C7"/>
    <w:rsid w:val="000D6940"/>
    <w:rsid w:val="000E754C"/>
    <w:rsid w:val="000E7620"/>
    <w:rsid w:val="000F2C6C"/>
    <w:rsid w:val="000F487E"/>
    <w:rsid w:val="000F7696"/>
    <w:rsid w:val="001052C3"/>
    <w:rsid w:val="001076DB"/>
    <w:rsid w:val="00107F54"/>
    <w:rsid w:val="00114FF5"/>
    <w:rsid w:val="001429D3"/>
    <w:rsid w:val="00142A1D"/>
    <w:rsid w:val="00164121"/>
    <w:rsid w:val="00173A14"/>
    <w:rsid w:val="001770ED"/>
    <w:rsid w:val="00186E53"/>
    <w:rsid w:val="00191563"/>
    <w:rsid w:val="00195633"/>
    <w:rsid w:val="001A2148"/>
    <w:rsid w:val="001B1766"/>
    <w:rsid w:val="001B6FE9"/>
    <w:rsid w:val="001B7B5C"/>
    <w:rsid w:val="001C181D"/>
    <w:rsid w:val="001C3D24"/>
    <w:rsid w:val="001D6997"/>
    <w:rsid w:val="001F12DF"/>
    <w:rsid w:val="001F2FDD"/>
    <w:rsid w:val="001F4409"/>
    <w:rsid w:val="001F75D6"/>
    <w:rsid w:val="0020007F"/>
    <w:rsid w:val="00200FDA"/>
    <w:rsid w:val="0020151D"/>
    <w:rsid w:val="00202382"/>
    <w:rsid w:val="00215870"/>
    <w:rsid w:val="0021667C"/>
    <w:rsid w:val="00220083"/>
    <w:rsid w:val="002226AE"/>
    <w:rsid w:val="00222A6C"/>
    <w:rsid w:val="00223473"/>
    <w:rsid w:val="002235A3"/>
    <w:rsid w:val="00224134"/>
    <w:rsid w:val="002268DC"/>
    <w:rsid w:val="00233FD2"/>
    <w:rsid w:val="00236BEA"/>
    <w:rsid w:val="00257868"/>
    <w:rsid w:val="00260AF4"/>
    <w:rsid w:val="00272DBF"/>
    <w:rsid w:val="0027767F"/>
    <w:rsid w:val="00282123"/>
    <w:rsid w:val="00290DDC"/>
    <w:rsid w:val="0029533A"/>
    <w:rsid w:val="002A1E49"/>
    <w:rsid w:val="002A4644"/>
    <w:rsid w:val="002D329F"/>
    <w:rsid w:val="002D39F8"/>
    <w:rsid w:val="002E04BD"/>
    <w:rsid w:val="002F2644"/>
    <w:rsid w:val="002F7943"/>
    <w:rsid w:val="0030001D"/>
    <w:rsid w:val="00305B36"/>
    <w:rsid w:val="00305C7D"/>
    <w:rsid w:val="0030656F"/>
    <w:rsid w:val="003122E1"/>
    <w:rsid w:val="00317B2A"/>
    <w:rsid w:val="003220ED"/>
    <w:rsid w:val="0033343C"/>
    <w:rsid w:val="0033354B"/>
    <w:rsid w:val="00335F28"/>
    <w:rsid w:val="0034112E"/>
    <w:rsid w:val="003437E3"/>
    <w:rsid w:val="00346CBC"/>
    <w:rsid w:val="003472DB"/>
    <w:rsid w:val="0035066D"/>
    <w:rsid w:val="003540D3"/>
    <w:rsid w:val="00360406"/>
    <w:rsid w:val="003604B8"/>
    <w:rsid w:val="00371190"/>
    <w:rsid w:val="00382C52"/>
    <w:rsid w:val="00385348"/>
    <w:rsid w:val="00387708"/>
    <w:rsid w:val="0039342F"/>
    <w:rsid w:val="003955B6"/>
    <w:rsid w:val="003B5267"/>
    <w:rsid w:val="003C0CD6"/>
    <w:rsid w:val="003C1E89"/>
    <w:rsid w:val="003C6220"/>
    <w:rsid w:val="003C6B5C"/>
    <w:rsid w:val="003D05A4"/>
    <w:rsid w:val="003D7997"/>
    <w:rsid w:val="003E31F4"/>
    <w:rsid w:val="003E3447"/>
    <w:rsid w:val="003E6B15"/>
    <w:rsid w:val="003F4CF2"/>
    <w:rsid w:val="004001BA"/>
    <w:rsid w:val="00405AFE"/>
    <w:rsid w:val="00412422"/>
    <w:rsid w:val="00413DD1"/>
    <w:rsid w:val="0041792A"/>
    <w:rsid w:val="004213E9"/>
    <w:rsid w:val="00430889"/>
    <w:rsid w:val="00434C8A"/>
    <w:rsid w:val="00441B25"/>
    <w:rsid w:val="00453558"/>
    <w:rsid w:val="00463C96"/>
    <w:rsid w:val="004660F5"/>
    <w:rsid w:val="004710D5"/>
    <w:rsid w:val="0047297B"/>
    <w:rsid w:val="004768B7"/>
    <w:rsid w:val="00480705"/>
    <w:rsid w:val="00485E5A"/>
    <w:rsid w:val="0049171F"/>
    <w:rsid w:val="00493B1C"/>
    <w:rsid w:val="0049455A"/>
    <w:rsid w:val="00496E53"/>
    <w:rsid w:val="004A4CA6"/>
    <w:rsid w:val="004B654F"/>
    <w:rsid w:val="004C4C07"/>
    <w:rsid w:val="004E0BC4"/>
    <w:rsid w:val="00504B5B"/>
    <w:rsid w:val="005118CC"/>
    <w:rsid w:val="00522171"/>
    <w:rsid w:val="00525F1A"/>
    <w:rsid w:val="00540670"/>
    <w:rsid w:val="005509C8"/>
    <w:rsid w:val="00553454"/>
    <w:rsid w:val="005564F5"/>
    <w:rsid w:val="005721FA"/>
    <w:rsid w:val="005752C6"/>
    <w:rsid w:val="00577207"/>
    <w:rsid w:val="0058758D"/>
    <w:rsid w:val="00590CEA"/>
    <w:rsid w:val="0059379A"/>
    <w:rsid w:val="00596564"/>
    <w:rsid w:val="005969DB"/>
    <w:rsid w:val="005A5D6B"/>
    <w:rsid w:val="005B0B23"/>
    <w:rsid w:val="005B0B9B"/>
    <w:rsid w:val="005B166D"/>
    <w:rsid w:val="005B397C"/>
    <w:rsid w:val="005B4AF9"/>
    <w:rsid w:val="005B5F71"/>
    <w:rsid w:val="005B7074"/>
    <w:rsid w:val="005C02F8"/>
    <w:rsid w:val="005C0BF2"/>
    <w:rsid w:val="005C1E95"/>
    <w:rsid w:val="005C77C6"/>
    <w:rsid w:val="005D049C"/>
    <w:rsid w:val="005D0684"/>
    <w:rsid w:val="005D24AE"/>
    <w:rsid w:val="005D35EF"/>
    <w:rsid w:val="005D5B48"/>
    <w:rsid w:val="005E53BF"/>
    <w:rsid w:val="005E6693"/>
    <w:rsid w:val="0060258B"/>
    <w:rsid w:val="00607DA2"/>
    <w:rsid w:val="0062141F"/>
    <w:rsid w:val="00626E1F"/>
    <w:rsid w:val="00631484"/>
    <w:rsid w:val="00635A82"/>
    <w:rsid w:val="00637B29"/>
    <w:rsid w:val="00644B0B"/>
    <w:rsid w:val="00647954"/>
    <w:rsid w:val="00650FBE"/>
    <w:rsid w:val="006636B2"/>
    <w:rsid w:val="00684AF6"/>
    <w:rsid w:val="00690C99"/>
    <w:rsid w:val="0069571A"/>
    <w:rsid w:val="00696868"/>
    <w:rsid w:val="00697A26"/>
    <w:rsid w:val="006A100B"/>
    <w:rsid w:val="006A1D25"/>
    <w:rsid w:val="006B07C4"/>
    <w:rsid w:val="006B3C9B"/>
    <w:rsid w:val="006B6189"/>
    <w:rsid w:val="006B674D"/>
    <w:rsid w:val="006B6C11"/>
    <w:rsid w:val="006C2146"/>
    <w:rsid w:val="006C7D28"/>
    <w:rsid w:val="006D5F04"/>
    <w:rsid w:val="006D7B82"/>
    <w:rsid w:val="006E6F36"/>
    <w:rsid w:val="006F55B8"/>
    <w:rsid w:val="00701669"/>
    <w:rsid w:val="007043C1"/>
    <w:rsid w:val="00723C3E"/>
    <w:rsid w:val="00732B56"/>
    <w:rsid w:val="00732EDE"/>
    <w:rsid w:val="00743629"/>
    <w:rsid w:val="00754377"/>
    <w:rsid w:val="00755EE1"/>
    <w:rsid w:val="00757221"/>
    <w:rsid w:val="00761468"/>
    <w:rsid w:val="00777545"/>
    <w:rsid w:val="00792DDE"/>
    <w:rsid w:val="007A3F83"/>
    <w:rsid w:val="007C3CDD"/>
    <w:rsid w:val="007C478F"/>
    <w:rsid w:val="007D0643"/>
    <w:rsid w:val="007D144D"/>
    <w:rsid w:val="007F5507"/>
    <w:rsid w:val="00801EF8"/>
    <w:rsid w:val="0080618C"/>
    <w:rsid w:val="00813415"/>
    <w:rsid w:val="008345DB"/>
    <w:rsid w:val="008665C7"/>
    <w:rsid w:val="00870C5B"/>
    <w:rsid w:val="00884B3A"/>
    <w:rsid w:val="00885D63"/>
    <w:rsid w:val="00894984"/>
    <w:rsid w:val="00894D9D"/>
    <w:rsid w:val="0089507D"/>
    <w:rsid w:val="008A1015"/>
    <w:rsid w:val="008B071B"/>
    <w:rsid w:val="008B3A3D"/>
    <w:rsid w:val="008B517D"/>
    <w:rsid w:val="008B7BD1"/>
    <w:rsid w:val="008E0E2A"/>
    <w:rsid w:val="008E1BB1"/>
    <w:rsid w:val="008E3F00"/>
    <w:rsid w:val="008E4CAE"/>
    <w:rsid w:val="008E5BA9"/>
    <w:rsid w:val="008E6970"/>
    <w:rsid w:val="008E7B42"/>
    <w:rsid w:val="008F0BC8"/>
    <w:rsid w:val="008F0DEE"/>
    <w:rsid w:val="008F1BDB"/>
    <w:rsid w:val="008F1DB2"/>
    <w:rsid w:val="00905FC0"/>
    <w:rsid w:val="00910CA1"/>
    <w:rsid w:val="009122F3"/>
    <w:rsid w:val="00912F24"/>
    <w:rsid w:val="0091726B"/>
    <w:rsid w:val="00934413"/>
    <w:rsid w:val="00940330"/>
    <w:rsid w:val="00944492"/>
    <w:rsid w:val="0094633E"/>
    <w:rsid w:val="00953D88"/>
    <w:rsid w:val="00955486"/>
    <w:rsid w:val="009643E6"/>
    <w:rsid w:val="0097662B"/>
    <w:rsid w:val="0098486F"/>
    <w:rsid w:val="009852BD"/>
    <w:rsid w:val="0099137D"/>
    <w:rsid w:val="009934F1"/>
    <w:rsid w:val="009A4481"/>
    <w:rsid w:val="009A5046"/>
    <w:rsid w:val="009B3ADF"/>
    <w:rsid w:val="009B5B96"/>
    <w:rsid w:val="009D3FFB"/>
    <w:rsid w:val="009D7010"/>
    <w:rsid w:val="009F2D70"/>
    <w:rsid w:val="009F4653"/>
    <w:rsid w:val="00A02F46"/>
    <w:rsid w:val="00A052B4"/>
    <w:rsid w:val="00A05AC8"/>
    <w:rsid w:val="00A12B48"/>
    <w:rsid w:val="00A16BA4"/>
    <w:rsid w:val="00A20E68"/>
    <w:rsid w:val="00A23FA0"/>
    <w:rsid w:val="00A255C5"/>
    <w:rsid w:val="00A26472"/>
    <w:rsid w:val="00A31E3A"/>
    <w:rsid w:val="00A53927"/>
    <w:rsid w:val="00A555F4"/>
    <w:rsid w:val="00A65FE8"/>
    <w:rsid w:val="00A7009B"/>
    <w:rsid w:val="00A74414"/>
    <w:rsid w:val="00A76FE8"/>
    <w:rsid w:val="00A86F76"/>
    <w:rsid w:val="00AA605C"/>
    <w:rsid w:val="00AB0D53"/>
    <w:rsid w:val="00AB0EAD"/>
    <w:rsid w:val="00AB16A8"/>
    <w:rsid w:val="00AB3CA2"/>
    <w:rsid w:val="00AC14E0"/>
    <w:rsid w:val="00AC389F"/>
    <w:rsid w:val="00AD1AE5"/>
    <w:rsid w:val="00AE34A3"/>
    <w:rsid w:val="00AE50A2"/>
    <w:rsid w:val="00AE7059"/>
    <w:rsid w:val="00AF1F24"/>
    <w:rsid w:val="00AF5974"/>
    <w:rsid w:val="00AF6E4D"/>
    <w:rsid w:val="00B01137"/>
    <w:rsid w:val="00B064F3"/>
    <w:rsid w:val="00B105D3"/>
    <w:rsid w:val="00B12011"/>
    <w:rsid w:val="00B144DF"/>
    <w:rsid w:val="00B14A5C"/>
    <w:rsid w:val="00B16588"/>
    <w:rsid w:val="00B21129"/>
    <w:rsid w:val="00B24E77"/>
    <w:rsid w:val="00B32C7A"/>
    <w:rsid w:val="00B33313"/>
    <w:rsid w:val="00B33A4F"/>
    <w:rsid w:val="00B419C4"/>
    <w:rsid w:val="00B46614"/>
    <w:rsid w:val="00B5131A"/>
    <w:rsid w:val="00B51DF1"/>
    <w:rsid w:val="00B54A2E"/>
    <w:rsid w:val="00B64344"/>
    <w:rsid w:val="00B721BB"/>
    <w:rsid w:val="00B72B40"/>
    <w:rsid w:val="00B75E3F"/>
    <w:rsid w:val="00B832E7"/>
    <w:rsid w:val="00B87233"/>
    <w:rsid w:val="00B904F6"/>
    <w:rsid w:val="00B96CA5"/>
    <w:rsid w:val="00BA246A"/>
    <w:rsid w:val="00BB0EAA"/>
    <w:rsid w:val="00BC0DEC"/>
    <w:rsid w:val="00BC4A60"/>
    <w:rsid w:val="00BC554E"/>
    <w:rsid w:val="00BC7406"/>
    <w:rsid w:val="00BD1192"/>
    <w:rsid w:val="00BD2D9F"/>
    <w:rsid w:val="00BD61B1"/>
    <w:rsid w:val="00BD7D70"/>
    <w:rsid w:val="00BE2582"/>
    <w:rsid w:val="00BE73F4"/>
    <w:rsid w:val="00BF3F2B"/>
    <w:rsid w:val="00BF5109"/>
    <w:rsid w:val="00C00ED0"/>
    <w:rsid w:val="00C04AD7"/>
    <w:rsid w:val="00C101B1"/>
    <w:rsid w:val="00C10C71"/>
    <w:rsid w:val="00C11146"/>
    <w:rsid w:val="00C1127F"/>
    <w:rsid w:val="00C207D1"/>
    <w:rsid w:val="00C2135A"/>
    <w:rsid w:val="00C27F42"/>
    <w:rsid w:val="00C440D7"/>
    <w:rsid w:val="00C45F7E"/>
    <w:rsid w:val="00C472D9"/>
    <w:rsid w:val="00C60E33"/>
    <w:rsid w:val="00C720EE"/>
    <w:rsid w:val="00C734E7"/>
    <w:rsid w:val="00C760E5"/>
    <w:rsid w:val="00C7611A"/>
    <w:rsid w:val="00C81C2C"/>
    <w:rsid w:val="00C91D84"/>
    <w:rsid w:val="00C94A9D"/>
    <w:rsid w:val="00CB319C"/>
    <w:rsid w:val="00CB5627"/>
    <w:rsid w:val="00CE2D02"/>
    <w:rsid w:val="00CE7925"/>
    <w:rsid w:val="00CF2FB7"/>
    <w:rsid w:val="00CF4667"/>
    <w:rsid w:val="00D00DDB"/>
    <w:rsid w:val="00D142C7"/>
    <w:rsid w:val="00D32E6B"/>
    <w:rsid w:val="00D40DCB"/>
    <w:rsid w:val="00D47A2A"/>
    <w:rsid w:val="00D5390F"/>
    <w:rsid w:val="00D56BA9"/>
    <w:rsid w:val="00D575F7"/>
    <w:rsid w:val="00D6129B"/>
    <w:rsid w:val="00D6549F"/>
    <w:rsid w:val="00D7151B"/>
    <w:rsid w:val="00D757D8"/>
    <w:rsid w:val="00D87508"/>
    <w:rsid w:val="00D924FD"/>
    <w:rsid w:val="00DA07FA"/>
    <w:rsid w:val="00DA4226"/>
    <w:rsid w:val="00DA6C0A"/>
    <w:rsid w:val="00DB2B49"/>
    <w:rsid w:val="00DC000A"/>
    <w:rsid w:val="00DC6417"/>
    <w:rsid w:val="00DD0793"/>
    <w:rsid w:val="00DD7CB2"/>
    <w:rsid w:val="00DE1E8A"/>
    <w:rsid w:val="00DE3ADB"/>
    <w:rsid w:val="00DE4347"/>
    <w:rsid w:val="00DE51D5"/>
    <w:rsid w:val="00DF1167"/>
    <w:rsid w:val="00DF315A"/>
    <w:rsid w:val="00E035C8"/>
    <w:rsid w:val="00E0644D"/>
    <w:rsid w:val="00E06BA9"/>
    <w:rsid w:val="00E12AAF"/>
    <w:rsid w:val="00E12BE0"/>
    <w:rsid w:val="00E12ECA"/>
    <w:rsid w:val="00E17E36"/>
    <w:rsid w:val="00E2067E"/>
    <w:rsid w:val="00E30AFB"/>
    <w:rsid w:val="00E3570A"/>
    <w:rsid w:val="00E3632B"/>
    <w:rsid w:val="00E47DB6"/>
    <w:rsid w:val="00E56024"/>
    <w:rsid w:val="00E5755D"/>
    <w:rsid w:val="00E643D1"/>
    <w:rsid w:val="00E73275"/>
    <w:rsid w:val="00E74E62"/>
    <w:rsid w:val="00EB7229"/>
    <w:rsid w:val="00EC0DDA"/>
    <w:rsid w:val="00EC1A6A"/>
    <w:rsid w:val="00ED3311"/>
    <w:rsid w:val="00ED51EE"/>
    <w:rsid w:val="00ED5906"/>
    <w:rsid w:val="00EE4B42"/>
    <w:rsid w:val="00EF5DC7"/>
    <w:rsid w:val="00F1334E"/>
    <w:rsid w:val="00F2167B"/>
    <w:rsid w:val="00F250CB"/>
    <w:rsid w:val="00F257F7"/>
    <w:rsid w:val="00F26EAA"/>
    <w:rsid w:val="00F30137"/>
    <w:rsid w:val="00F330EA"/>
    <w:rsid w:val="00F3324C"/>
    <w:rsid w:val="00F33F10"/>
    <w:rsid w:val="00F34C25"/>
    <w:rsid w:val="00F5185A"/>
    <w:rsid w:val="00F54458"/>
    <w:rsid w:val="00F70E04"/>
    <w:rsid w:val="00F716BC"/>
    <w:rsid w:val="00F7564D"/>
    <w:rsid w:val="00F77098"/>
    <w:rsid w:val="00F80247"/>
    <w:rsid w:val="00F81322"/>
    <w:rsid w:val="00F8250C"/>
    <w:rsid w:val="00F8627F"/>
    <w:rsid w:val="00F968A1"/>
    <w:rsid w:val="00FA5B88"/>
    <w:rsid w:val="00FB0B79"/>
    <w:rsid w:val="00FC3DCD"/>
    <w:rsid w:val="00FD22C1"/>
    <w:rsid w:val="00FE03AC"/>
    <w:rsid w:val="00FE5E1E"/>
    <w:rsid w:val="00FF1B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B375"/>
  <w15:docId w15:val="{C9FA0B19-3B19-4706-89B7-BE16533C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lang w:val="de-DE"/>
    </w:rPr>
  </w:style>
  <w:style w:type="paragraph" w:styleId="berschrift1">
    <w:name w:val="heading 1"/>
    <w:basedOn w:val="Standard"/>
    <w:next w:val="Standard"/>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5066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5066D"/>
  </w:style>
  <w:style w:type="paragraph" w:styleId="Fuzeile">
    <w:name w:val="footer"/>
    <w:basedOn w:val="Standard"/>
    <w:link w:val="FuzeileZchn"/>
    <w:uiPriority w:val="99"/>
    <w:unhideWhenUsed/>
    <w:rsid w:val="0035066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5066D"/>
  </w:style>
  <w:style w:type="paragraph" w:styleId="StandardWeb">
    <w:name w:val="Normal (Web)"/>
    <w:basedOn w:val="Standard"/>
    <w:uiPriority w:val="99"/>
    <w:semiHidden/>
    <w:unhideWhenUsed/>
    <w:rsid w:val="00B46614"/>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BF51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5109"/>
    <w:rPr>
      <w:sz w:val="20"/>
      <w:szCs w:val="20"/>
    </w:rPr>
  </w:style>
  <w:style w:type="character" w:styleId="Funotenzeichen">
    <w:name w:val="footnote reference"/>
    <w:basedOn w:val="Absatz-Standardschriftart"/>
    <w:uiPriority w:val="99"/>
    <w:semiHidden/>
    <w:unhideWhenUsed/>
    <w:rsid w:val="00BF5109"/>
    <w:rPr>
      <w:vertAlign w:val="superscript"/>
    </w:rPr>
  </w:style>
  <w:style w:type="paragraph" w:styleId="Sprechblasentext">
    <w:name w:val="Balloon Text"/>
    <w:basedOn w:val="Standard"/>
    <w:link w:val="SprechblasentextZchn"/>
    <w:uiPriority w:val="99"/>
    <w:semiHidden/>
    <w:unhideWhenUsed/>
    <w:rsid w:val="00BF51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5109"/>
    <w:rPr>
      <w:rFonts w:ascii="Segoe UI" w:hAnsi="Segoe UI" w:cs="Segoe UI"/>
      <w:sz w:val="18"/>
      <w:szCs w:val="18"/>
    </w:rPr>
  </w:style>
  <w:style w:type="character" w:styleId="Hyperlink">
    <w:name w:val="Hyperlink"/>
    <w:basedOn w:val="Absatz-Standardschriftart"/>
    <w:uiPriority w:val="99"/>
    <w:unhideWhenUsed/>
    <w:rsid w:val="00BD61B1"/>
    <w:rPr>
      <w:color w:val="0000FF"/>
      <w:u w:val="single"/>
    </w:rPr>
  </w:style>
  <w:style w:type="character" w:customStyle="1" w:styleId="NichtaufgelsteErwhnung1">
    <w:name w:val="Nicht aufgelöste Erwähnung1"/>
    <w:basedOn w:val="Absatz-Standardschriftart"/>
    <w:uiPriority w:val="99"/>
    <w:semiHidden/>
    <w:unhideWhenUsed/>
    <w:rsid w:val="008E4CAE"/>
    <w:rPr>
      <w:color w:val="605E5C"/>
      <w:shd w:val="clear" w:color="auto" w:fill="E1DFDD"/>
    </w:rPr>
  </w:style>
  <w:style w:type="paragraph" w:styleId="Listenabsatz">
    <w:name w:val="List Paragraph"/>
    <w:basedOn w:val="Standard"/>
    <w:uiPriority w:val="1"/>
    <w:qFormat/>
    <w:rsid w:val="008E4CAE"/>
    <w:pPr>
      <w:ind w:left="720"/>
      <w:contextualSpacing/>
    </w:pPr>
  </w:style>
  <w:style w:type="character" w:styleId="Kommentarzeichen">
    <w:name w:val="annotation reference"/>
    <w:basedOn w:val="Absatz-Standardschriftart"/>
    <w:uiPriority w:val="99"/>
    <w:semiHidden/>
    <w:unhideWhenUsed/>
    <w:rsid w:val="005A5D6B"/>
    <w:rPr>
      <w:sz w:val="16"/>
      <w:szCs w:val="16"/>
    </w:rPr>
  </w:style>
  <w:style w:type="paragraph" w:styleId="Kommentartext">
    <w:name w:val="annotation text"/>
    <w:basedOn w:val="Standard"/>
    <w:link w:val="KommentartextZchn"/>
    <w:uiPriority w:val="99"/>
    <w:unhideWhenUsed/>
    <w:rsid w:val="005A5D6B"/>
    <w:pPr>
      <w:spacing w:line="240" w:lineRule="auto"/>
    </w:pPr>
    <w:rPr>
      <w:sz w:val="20"/>
      <w:szCs w:val="20"/>
    </w:rPr>
  </w:style>
  <w:style w:type="character" w:customStyle="1" w:styleId="KommentartextZchn">
    <w:name w:val="Kommentartext Zchn"/>
    <w:basedOn w:val="Absatz-Standardschriftart"/>
    <w:link w:val="Kommentartext"/>
    <w:uiPriority w:val="99"/>
    <w:rsid w:val="005A5D6B"/>
    <w:rPr>
      <w:sz w:val="20"/>
      <w:szCs w:val="20"/>
    </w:rPr>
  </w:style>
  <w:style w:type="paragraph" w:styleId="Kommentarthema">
    <w:name w:val="annotation subject"/>
    <w:basedOn w:val="Kommentartext"/>
    <w:next w:val="Kommentartext"/>
    <w:link w:val="KommentarthemaZchn"/>
    <w:uiPriority w:val="99"/>
    <w:semiHidden/>
    <w:unhideWhenUsed/>
    <w:rsid w:val="005A5D6B"/>
    <w:rPr>
      <w:b/>
      <w:bCs/>
    </w:rPr>
  </w:style>
  <w:style w:type="character" w:customStyle="1" w:styleId="KommentarthemaZchn">
    <w:name w:val="Kommentarthema Zchn"/>
    <w:basedOn w:val="KommentartextZchn"/>
    <w:link w:val="Kommentarthema"/>
    <w:uiPriority w:val="99"/>
    <w:semiHidden/>
    <w:rsid w:val="005A5D6B"/>
    <w:rPr>
      <w:b/>
      <w:bCs/>
      <w:sz w:val="20"/>
      <w:szCs w:val="20"/>
    </w:rPr>
  </w:style>
  <w:style w:type="paragraph" w:styleId="berarbeitung">
    <w:name w:val="Revision"/>
    <w:hidden/>
    <w:uiPriority w:val="99"/>
    <w:semiHidden/>
    <w:rsid w:val="008E5BA9"/>
    <w:pPr>
      <w:spacing w:after="0" w:line="240" w:lineRule="auto"/>
    </w:pPr>
  </w:style>
  <w:style w:type="character" w:customStyle="1" w:styleId="NichtaufgelsteErwhnung2">
    <w:name w:val="Nicht aufgelöste Erwähnung2"/>
    <w:basedOn w:val="Absatz-Standardschriftart"/>
    <w:uiPriority w:val="99"/>
    <w:semiHidden/>
    <w:unhideWhenUsed/>
    <w:rsid w:val="00631484"/>
    <w:rPr>
      <w:color w:val="605E5C"/>
      <w:shd w:val="clear" w:color="auto" w:fill="E1DFDD"/>
    </w:rPr>
  </w:style>
  <w:style w:type="paragraph" w:customStyle="1" w:styleId="Default">
    <w:name w:val="Default"/>
    <w:rsid w:val="00912F24"/>
    <w:pPr>
      <w:autoSpaceDE w:val="0"/>
      <w:autoSpaceDN w:val="0"/>
      <w:adjustRightInd w:val="0"/>
      <w:spacing w:after="0" w:line="240" w:lineRule="auto"/>
    </w:pPr>
    <w:rPr>
      <w:color w:val="000000"/>
      <w:sz w:val="24"/>
      <w:szCs w:val="24"/>
    </w:rPr>
  </w:style>
  <w:style w:type="character" w:styleId="NichtaufgelsteErwhnung">
    <w:name w:val="Unresolved Mention"/>
    <w:basedOn w:val="Absatz-Standardschriftart"/>
    <w:uiPriority w:val="99"/>
    <w:semiHidden/>
    <w:unhideWhenUsed/>
    <w:rsid w:val="00E3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641">
      <w:bodyDiv w:val="1"/>
      <w:marLeft w:val="0"/>
      <w:marRight w:val="0"/>
      <w:marTop w:val="0"/>
      <w:marBottom w:val="0"/>
      <w:divBdr>
        <w:top w:val="none" w:sz="0" w:space="0" w:color="auto"/>
        <w:left w:val="none" w:sz="0" w:space="0" w:color="auto"/>
        <w:bottom w:val="none" w:sz="0" w:space="0" w:color="auto"/>
        <w:right w:val="none" w:sz="0" w:space="0" w:color="auto"/>
      </w:divBdr>
    </w:div>
    <w:div w:id="239873993">
      <w:bodyDiv w:val="1"/>
      <w:marLeft w:val="0"/>
      <w:marRight w:val="0"/>
      <w:marTop w:val="0"/>
      <w:marBottom w:val="0"/>
      <w:divBdr>
        <w:top w:val="none" w:sz="0" w:space="0" w:color="auto"/>
        <w:left w:val="none" w:sz="0" w:space="0" w:color="auto"/>
        <w:bottom w:val="none" w:sz="0" w:space="0" w:color="auto"/>
        <w:right w:val="none" w:sz="0" w:space="0" w:color="auto"/>
      </w:divBdr>
    </w:div>
    <w:div w:id="1791045230">
      <w:bodyDiv w:val="1"/>
      <w:marLeft w:val="0"/>
      <w:marRight w:val="0"/>
      <w:marTop w:val="0"/>
      <w:marBottom w:val="0"/>
      <w:divBdr>
        <w:top w:val="none" w:sz="0" w:space="0" w:color="auto"/>
        <w:left w:val="none" w:sz="0" w:space="0" w:color="auto"/>
        <w:bottom w:val="none" w:sz="0" w:space="0" w:color="auto"/>
        <w:right w:val="none" w:sz="0" w:space="0" w:color="auto"/>
      </w:divBdr>
    </w:div>
    <w:div w:id="197239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nguardpow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ggsandstrat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93D43D31F69C4490E681E7E57BAB85" ma:contentTypeVersion="10" ma:contentTypeDescription="Create a new document." ma:contentTypeScope="" ma:versionID="ece370313495eb3bcd6a1ef121fb36d0">
  <xsd:schema xmlns:xsd="http://www.w3.org/2001/XMLSchema" xmlns:xs="http://www.w3.org/2001/XMLSchema" xmlns:p="http://schemas.microsoft.com/office/2006/metadata/properties" xmlns:ns3="b24417c3-0ef5-491f-bcba-43d30e61f741" targetNamespace="http://schemas.microsoft.com/office/2006/metadata/properties" ma:root="true" ma:fieldsID="a8b59d8a806e20dab2826a88400e9750" ns3:_="">
    <xsd:import namespace="b24417c3-0ef5-491f-bcba-43d30e61f7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417c3-0ef5-491f-bcba-43d30e61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B585C-722F-4149-9552-BA57B14858F5}">
  <ds:schemaRefs>
    <ds:schemaRef ds:uri="http://schemas.microsoft.com/sharepoint/v3/contenttype/forms"/>
  </ds:schemaRefs>
</ds:datastoreItem>
</file>

<file path=customXml/itemProps2.xml><?xml version="1.0" encoding="utf-8"?>
<ds:datastoreItem xmlns:ds="http://schemas.openxmlformats.org/officeDocument/2006/customXml" ds:itemID="{CC38FF40-AEAC-4207-9C32-B3FA45161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3CFC49-6866-410D-B8B3-60C9829893AA}">
  <ds:schemaRefs>
    <ds:schemaRef ds:uri="http://schemas.openxmlformats.org/officeDocument/2006/bibliography"/>
  </ds:schemaRefs>
</ds:datastoreItem>
</file>

<file path=customXml/itemProps4.xml><?xml version="1.0" encoding="utf-8"?>
<ds:datastoreItem xmlns:ds="http://schemas.openxmlformats.org/officeDocument/2006/customXml" ds:itemID="{01FA383E-D3DD-4992-BA67-9549EB8E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417c3-0ef5-491f-bcba-43d30e61f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831</Words>
  <Characters>5237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Briggs &amp; Stratton</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Vagnini, Lauren</dc:creator>
  <cp:lastModifiedBy>Kay Müller</cp:lastModifiedBy>
  <cp:revision>14</cp:revision>
  <cp:lastPrinted>2020-09-21T00:30:00Z</cp:lastPrinted>
  <dcterms:created xsi:type="dcterms:W3CDTF">2025-10-09T11:53:00Z</dcterms:created>
  <dcterms:modified xsi:type="dcterms:W3CDTF">2025-10-10T16:07:00Z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0x0101002E93D43D31F69C4490E681E7E57BAB85</vt:lpwstr>
  </property>
</Properties>
</file>