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813415" w:rsidRDefault="0091726B" w:rsidP="007D0643">
      <w:pPr>
        <w:spacing w:after="0" w:line="360" w:lineRule="auto"/>
        <w:rPr>
          <w:rFonts w:asciiTheme="majorHAnsi" w:eastAsia="Arial" w:hAnsiTheme="majorHAnsi" w:cstheme="majorHAnsi"/>
          <w:b/>
          <w:sz w:val="32"/>
          <w:szCs w:val="32"/>
          <w:lang w:val="de-DE"/>
        </w:rPr>
      </w:pPr>
      <w:r w:rsidRPr="00813415">
        <w:rPr>
          <w:rFonts w:asciiTheme="majorHAnsi" w:eastAsia="Arial" w:hAnsiTheme="majorHAnsi" w:cstheme="majorHAnsi"/>
          <w:b/>
          <w:sz w:val="32"/>
          <w:szCs w:val="32"/>
          <w:lang w:val="de-DE"/>
        </w:rPr>
        <w:t>Medien-Information</w:t>
      </w:r>
    </w:p>
    <w:p w14:paraId="7CCB7545" w14:textId="78E63985" w:rsidR="0030001D" w:rsidRPr="00813415" w:rsidRDefault="005B7074" w:rsidP="007D0643">
      <w:pPr>
        <w:spacing w:after="0" w:line="360" w:lineRule="auto"/>
        <w:rPr>
          <w:rFonts w:asciiTheme="majorHAnsi" w:eastAsia="Arial" w:hAnsiTheme="majorHAnsi" w:cstheme="majorHAnsi"/>
          <w:b/>
          <w:lang w:val="de-DE"/>
        </w:rPr>
      </w:pPr>
      <w:r>
        <w:rPr>
          <w:rFonts w:asciiTheme="majorHAnsi" w:eastAsia="Arial" w:hAnsiTheme="majorHAnsi" w:cstheme="majorHAnsi"/>
          <w:b/>
          <w:bCs/>
          <w:lang w:val="de-DE"/>
        </w:rPr>
        <w:t>Frei z</w:t>
      </w:r>
      <w:r w:rsidR="001A2148" w:rsidRPr="00813415">
        <w:rPr>
          <w:rFonts w:asciiTheme="majorHAnsi" w:eastAsia="Arial" w:hAnsiTheme="majorHAnsi" w:cstheme="majorHAnsi"/>
          <w:b/>
          <w:bCs/>
          <w:lang w:val="de-DE"/>
        </w:rPr>
        <w:t>ur</w:t>
      </w:r>
      <w:r w:rsidR="006636B2" w:rsidRPr="00813415">
        <w:rPr>
          <w:rFonts w:asciiTheme="majorHAnsi" w:eastAsia="Arial" w:hAnsiTheme="majorHAnsi" w:cstheme="majorHAnsi"/>
          <w:b/>
          <w:bCs/>
          <w:lang w:val="de-DE"/>
        </w:rPr>
        <w:t xml:space="preserve"> V</w:t>
      </w:r>
      <w:r w:rsidR="001A2148" w:rsidRPr="00813415">
        <w:rPr>
          <w:rFonts w:asciiTheme="majorHAnsi" w:eastAsia="Arial" w:hAnsiTheme="majorHAnsi" w:cstheme="majorHAnsi"/>
          <w:b/>
          <w:bCs/>
          <w:lang w:val="de-DE"/>
        </w:rPr>
        <w:t>eröffentlichung</w:t>
      </w:r>
      <w:r>
        <w:rPr>
          <w:rFonts w:asciiTheme="majorHAnsi" w:eastAsia="Arial" w:hAnsiTheme="majorHAnsi" w:cstheme="majorHAnsi"/>
          <w:b/>
          <w:bCs/>
          <w:lang w:val="de-DE"/>
        </w:rPr>
        <w:t xml:space="preserve"> / Beleg erbeten</w:t>
      </w:r>
    </w:p>
    <w:p w14:paraId="38CB8243" w14:textId="77777777" w:rsidR="001A2148" w:rsidRPr="00813415" w:rsidRDefault="001A2148" w:rsidP="007D0643">
      <w:pPr>
        <w:spacing w:after="0" w:line="360" w:lineRule="auto"/>
        <w:rPr>
          <w:rFonts w:asciiTheme="majorHAnsi" w:eastAsia="Arial" w:hAnsiTheme="majorHAnsi" w:cstheme="majorHAnsi"/>
          <w:lang w:val="de-DE"/>
        </w:rPr>
      </w:pPr>
    </w:p>
    <w:p w14:paraId="6B3F61A9" w14:textId="6C8A5D65" w:rsidR="008E4CAE" w:rsidRPr="00813415" w:rsidRDefault="006636B2" w:rsidP="007D0643">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Kontakt: </w:t>
      </w:r>
    </w:p>
    <w:p w14:paraId="1C8E47DC" w14:textId="31628ADF" w:rsidR="0030001D" w:rsidRDefault="00ED5906" w:rsidP="0053590A">
      <w:pPr>
        <w:pStyle w:val="Listenabsatz"/>
        <w:numPr>
          <w:ilvl w:val="0"/>
          <w:numId w:val="1"/>
        </w:numPr>
        <w:spacing w:after="0" w:line="360" w:lineRule="auto"/>
        <w:rPr>
          <w:rFonts w:asciiTheme="majorHAnsi" w:hAnsiTheme="majorHAnsi" w:cstheme="majorHAnsi"/>
          <w:b/>
          <w:sz w:val="24"/>
          <w:szCs w:val="24"/>
          <w:lang w:val="de-DE"/>
        </w:rPr>
      </w:pPr>
      <w:r w:rsidRPr="00C7611A">
        <w:rPr>
          <w:rFonts w:asciiTheme="majorHAnsi" w:eastAsia="Arial" w:hAnsiTheme="majorHAnsi" w:cstheme="majorHAnsi"/>
          <w:lang w:val="de-DE"/>
        </w:rPr>
        <w:t>Kay-Uwe Müller, Pressebüro Tschorn &amp; Partner, +49 6201 5 78 78,</w:t>
      </w:r>
      <w:r w:rsidRPr="00C7611A">
        <w:rPr>
          <w:rFonts w:asciiTheme="majorHAnsi" w:eastAsia="Arial" w:hAnsiTheme="majorHAnsi" w:cstheme="majorHAnsi"/>
          <w:lang w:val="de-DE"/>
        </w:rPr>
        <w:br/>
        <w:t xml:space="preserve">mueller@pressebuero-tschorn.de </w:t>
      </w:r>
      <w:r w:rsidR="006636B2" w:rsidRPr="00C7611A">
        <w:rPr>
          <w:rFonts w:asciiTheme="majorHAnsi" w:hAnsiTheme="majorHAnsi" w:cstheme="majorHAnsi"/>
          <w:b/>
          <w:sz w:val="24"/>
          <w:szCs w:val="24"/>
          <w:lang w:val="de-DE"/>
        </w:rPr>
        <w:t>_____________________________________________</w:t>
      </w:r>
      <w:r w:rsidR="007D0643" w:rsidRPr="00C7611A">
        <w:rPr>
          <w:rFonts w:asciiTheme="majorHAnsi" w:hAnsiTheme="majorHAnsi" w:cstheme="majorHAnsi"/>
          <w:b/>
          <w:sz w:val="24"/>
          <w:szCs w:val="24"/>
          <w:lang w:val="de-DE"/>
        </w:rPr>
        <w:t>________________</w:t>
      </w:r>
    </w:p>
    <w:p w14:paraId="3C52C9FC" w14:textId="6A6AF7A1" w:rsidR="00A76FE8" w:rsidRDefault="00A76FE8" w:rsidP="00ED3311">
      <w:pPr>
        <w:spacing w:after="0" w:line="360" w:lineRule="auto"/>
        <w:rPr>
          <w:rFonts w:asciiTheme="majorHAnsi" w:eastAsia="Arial" w:hAnsiTheme="majorHAnsi" w:cstheme="majorHAnsi"/>
          <w:b/>
          <w:bCs/>
          <w:lang w:val="de-DE"/>
        </w:rPr>
      </w:pPr>
    </w:p>
    <w:p w14:paraId="2C3D0258" w14:textId="77777777" w:rsidR="006B674D" w:rsidRPr="006B674D" w:rsidRDefault="006B674D" w:rsidP="006B674D">
      <w:pPr>
        <w:spacing w:after="0" w:line="360" w:lineRule="auto"/>
        <w:rPr>
          <w:sz w:val="32"/>
          <w:szCs w:val="32"/>
          <w:lang w:val="de-DE"/>
        </w:rPr>
      </w:pPr>
      <w:r w:rsidRPr="006B674D">
        <w:rPr>
          <w:sz w:val="32"/>
          <w:szCs w:val="32"/>
          <w:lang w:val="de-DE"/>
        </w:rPr>
        <w:t>Briggs &amp; Stratton und HAINZL Motion &amp; Drives treiben Elektrifizierung in Zentraleuropa voran</w:t>
      </w:r>
    </w:p>
    <w:p w14:paraId="3B8FC53B" w14:textId="77777777" w:rsidR="006B674D" w:rsidRPr="006B674D" w:rsidRDefault="006B674D" w:rsidP="006B674D">
      <w:pPr>
        <w:spacing w:after="0" w:line="360" w:lineRule="auto"/>
        <w:rPr>
          <w:i/>
          <w:lang w:val="de-DE"/>
        </w:rPr>
      </w:pPr>
      <w:r w:rsidRPr="006B674D">
        <w:rPr>
          <w:i/>
          <w:lang w:val="de-DE"/>
        </w:rPr>
        <w:t>Neue Technologiepartnerschaft erweitert das Vanguard-Netzwerk und unterstützt OEMs mit maßgeschneiderten Systemlösungen</w:t>
      </w:r>
    </w:p>
    <w:p w14:paraId="158E4B6B" w14:textId="77777777" w:rsidR="006B674D" w:rsidRPr="006B674D" w:rsidRDefault="006B674D" w:rsidP="006B674D">
      <w:pPr>
        <w:spacing w:after="0" w:line="360" w:lineRule="auto"/>
        <w:rPr>
          <w:lang w:val="de-DE"/>
        </w:rPr>
      </w:pPr>
    </w:p>
    <w:p w14:paraId="0EEFF954" w14:textId="30B6A1E7" w:rsidR="006B674D" w:rsidRPr="006B674D" w:rsidRDefault="006B674D" w:rsidP="006B674D">
      <w:pPr>
        <w:spacing w:after="0" w:line="360" w:lineRule="auto"/>
        <w:rPr>
          <w:lang w:val="de-DE"/>
        </w:rPr>
      </w:pPr>
      <w:r w:rsidRPr="006B674D">
        <w:rPr>
          <w:b/>
          <w:lang w:val="de-DE"/>
        </w:rPr>
        <w:t xml:space="preserve">Freienbach, </w:t>
      </w:r>
      <w:r w:rsidR="008B7BD1">
        <w:rPr>
          <w:b/>
          <w:lang w:val="de-DE"/>
        </w:rPr>
        <w:t>JU</w:t>
      </w:r>
      <w:r w:rsidR="00305C7D">
        <w:rPr>
          <w:b/>
          <w:lang w:val="de-DE"/>
        </w:rPr>
        <w:t>L</w:t>
      </w:r>
      <w:r w:rsidR="008B7BD1">
        <w:rPr>
          <w:b/>
          <w:lang w:val="de-DE"/>
        </w:rPr>
        <w:t>I</w:t>
      </w:r>
      <w:r w:rsidRPr="006B674D">
        <w:rPr>
          <w:b/>
          <w:lang w:val="de-DE"/>
        </w:rPr>
        <w:t xml:space="preserve"> 2025</w:t>
      </w:r>
      <w:r w:rsidRPr="006B674D">
        <w:rPr>
          <w:lang w:val="de-DE"/>
        </w:rPr>
        <w:t xml:space="preserve"> – Der Antriebsspezialist Briggs &amp; Stratton stärkt seine Position im Bereich elektrifizierter Maschinenlösungen durch eine neue Technologiepartnerschaft seiner Marke Vanguard mit dem österreichischen Systemanbieter HAINZL Motion &amp; Drives. Beide Unternehmen arbeiten künftig gemeinsam daran, OEMs in Zentraleuropa mit integrierten Lösungen für die Elektrifizierung zu unterstützen. Die Kooperation eröffnet neue Perspektiven für Hersteller u.a. aus Bauwirtschaft und GaLaBau, die ihre Maschinen auf elektrische Antriebssysteme mit leistungsfähigen Lithium-Ionen-Akkus umstellen wollen.</w:t>
      </w:r>
    </w:p>
    <w:p w14:paraId="273CBA7F" w14:textId="77777777" w:rsidR="006B674D" w:rsidRPr="006B674D" w:rsidRDefault="006B674D" w:rsidP="006B674D">
      <w:pPr>
        <w:spacing w:after="0" w:line="360" w:lineRule="auto"/>
        <w:rPr>
          <w:lang w:val="de-DE"/>
        </w:rPr>
      </w:pPr>
    </w:p>
    <w:p w14:paraId="5FCB6FB4" w14:textId="77777777" w:rsidR="006B674D" w:rsidRPr="006B674D" w:rsidRDefault="006B674D" w:rsidP="006B674D">
      <w:pPr>
        <w:spacing w:after="0" w:line="360" w:lineRule="auto"/>
        <w:rPr>
          <w:lang w:val="de-DE"/>
        </w:rPr>
      </w:pPr>
      <w:r w:rsidRPr="006B674D">
        <w:rPr>
          <w:lang w:val="de-DE"/>
        </w:rPr>
        <w:t xml:space="preserve">David Frank, Senior Vice President Briggs &amp; Stratton und President Electrification erklärt dazu: „Unser Technologiepartner-Programm trägt entscheidend zum anhaltenden Erfolg von Vanguard bei. Mit seinem Fokus auf die Weiterentwicklung im Bereich Elektrifizierung mobiler Maschinen kann HAINZL Motion &amp; Drives die Stärken des Vanguard-Akkusystems optimal nutzen. Gemeinsam setzen wir uns dafür ein, OEMs die </w:t>
      </w:r>
      <w:r w:rsidRPr="006B674D">
        <w:rPr>
          <w:lang w:val="de-DE"/>
        </w:rPr>
        <w:lastRenderedPageBreak/>
        <w:t>passenden Energielösungen bereitzustellen und freuen uns auf eine enge und dauerhafte Zusammenarbeit.“</w:t>
      </w:r>
    </w:p>
    <w:p w14:paraId="1A8936DE" w14:textId="77777777" w:rsidR="006B674D" w:rsidRPr="006B674D" w:rsidRDefault="006B674D" w:rsidP="006B674D">
      <w:pPr>
        <w:spacing w:after="0" w:line="360" w:lineRule="auto"/>
        <w:rPr>
          <w:lang w:val="de-DE"/>
        </w:rPr>
      </w:pPr>
    </w:p>
    <w:p w14:paraId="1D0A9A66" w14:textId="77777777" w:rsidR="006B674D" w:rsidRPr="006B674D" w:rsidRDefault="006B674D" w:rsidP="006B674D">
      <w:pPr>
        <w:spacing w:after="0" w:line="360" w:lineRule="auto"/>
        <w:rPr>
          <w:lang w:val="de-DE"/>
        </w:rPr>
      </w:pPr>
      <w:r w:rsidRPr="006B674D">
        <w:rPr>
          <w:b/>
          <w:lang w:val="de-DE"/>
        </w:rPr>
        <w:t>Partnerschaft verbindet zwei erfahrene Systemanbieter</w:t>
      </w:r>
    </w:p>
    <w:p w14:paraId="3AD1F3ED" w14:textId="77777777" w:rsidR="006B674D" w:rsidRPr="006B674D" w:rsidRDefault="006B674D" w:rsidP="006B674D">
      <w:pPr>
        <w:spacing w:after="0" w:line="360" w:lineRule="auto"/>
        <w:rPr>
          <w:lang w:val="de-DE"/>
        </w:rPr>
      </w:pPr>
      <w:r w:rsidRPr="006B674D">
        <w:rPr>
          <w:lang w:val="de-DE"/>
        </w:rPr>
        <w:t>HAINZL Motion &amp; Drives mit Sitz in Linz ist seit sechs Jahrzehnten ein etablierter Anbieter von Antriebs- und Automatisierungssystemen und betreut international tätige Hersteller aus unterschiedlichen Industriezweigen. Das Unternehmen bringt eine umfassende Expertise in den Bereichen Hydraulik, Elektrotechnik und Human-Machine-Interface (HMI) mit. Briggs &amp; Stratton wiederum verfügt mit Vanguard über ebenfalls über Dekaden von  Erfahrung in der Entwicklung robuster Benzinmotoren und Akkusysteme für professionelle Anwendungen.</w:t>
      </w:r>
    </w:p>
    <w:p w14:paraId="23879FC5" w14:textId="77777777" w:rsidR="006B674D" w:rsidRPr="006B674D" w:rsidRDefault="006B674D" w:rsidP="006B674D">
      <w:pPr>
        <w:spacing w:after="0" w:line="360" w:lineRule="auto"/>
        <w:rPr>
          <w:lang w:val="de-DE"/>
        </w:rPr>
      </w:pPr>
    </w:p>
    <w:p w14:paraId="250905C9" w14:textId="77777777" w:rsidR="006B674D" w:rsidRPr="006B674D" w:rsidRDefault="006B674D" w:rsidP="006B674D">
      <w:pPr>
        <w:spacing w:after="0" w:line="360" w:lineRule="auto"/>
        <w:rPr>
          <w:lang w:val="de-DE"/>
        </w:rPr>
      </w:pPr>
      <w:r w:rsidRPr="006B674D">
        <w:rPr>
          <w:lang w:val="de-DE"/>
        </w:rPr>
        <w:t>Die Zusammenarbeit ermöglicht es OEMs, von der Kombination aus technologischem Know-how, Systemintegration und branchenspezifischer Anwendungskompetenz zu profitieren. Ziel ist es, individuelle, leistungsfähige und zukunftssichere Lösungen aus einer Hand anzubieten – von der Konzeption über die Entwicklung bis hin zur Integration in bestehende oder neue Maschinenplattformen.</w:t>
      </w:r>
    </w:p>
    <w:p w14:paraId="662FB2DB" w14:textId="77777777" w:rsidR="006B674D" w:rsidRPr="006B674D" w:rsidRDefault="006B674D" w:rsidP="006B674D">
      <w:pPr>
        <w:spacing w:after="0" w:line="360" w:lineRule="auto"/>
        <w:rPr>
          <w:lang w:val="de-DE"/>
        </w:rPr>
      </w:pPr>
    </w:p>
    <w:p w14:paraId="4EED564C" w14:textId="77777777" w:rsidR="006B674D" w:rsidRPr="006B674D" w:rsidRDefault="006B674D" w:rsidP="006B674D">
      <w:pPr>
        <w:spacing w:after="0" w:line="360" w:lineRule="auto"/>
        <w:rPr>
          <w:lang w:val="de-DE"/>
        </w:rPr>
      </w:pPr>
      <w:r w:rsidRPr="006B674D">
        <w:rPr>
          <w:b/>
          <w:lang w:val="de-DE"/>
        </w:rPr>
        <w:t>Maßgeschneiderte Lösungen für zentraleuropäische Märkte</w:t>
      </w:r>
    </w:p>
    <w:p w14:paraId="02147A2E" w14:textId="77777777" w:rsidR="006B674D" w:rsidRPr="006B674D" w:rsidRDefault="006B674D" w:rsidP="006B674D">
      <w:pPr>
        <w:spacing w:after="0" w:line="360" w:lineRule="auto"/>
        <w:rPr>
          <w:lang w:val="de-DE"/>
        </w:rPr>
      </w:pPr>
      <w:r w:rsidRPr="006B674D">
        <w:rPr>
          <w:lang w:val="de-DE"/>
        </w:rPr>
        <w:t>Im Zentrum der Partnerschaft steht die gemeinsame Entwicklung und Bereitstellung elektrifizierter Antriebslösungen - vor allem für mobile Maschinen. Die Bündelung der Kräfte eröffnet neue Möglichkeiten für Anwender aus Baugewerbe, Landschaftsbau, Landwirtschaft oder Industrie. Ein konkretes Beispiel liefert das Projekt beim Betonfertigteilhersteller M.A.H-Holzinger, wo eine bestehende dieselhydraulische Anlage durch ein modernes, elektrohydraulisches System mit fest installierten Vanguard-Akkupacks ersetzt wurde. Das Ergebnis: ein emissionsfreier, geräuscharmer und effizienter Produktionsprozess – im Einklang mit den Zielen des EU Green Deal.</w:t>
      </w:r>
    </w:p>
    <w:p w14:paraId="669FDEA5" w14:textId="77777777" w:rsidR="006B674D" w:rsidRPr="006B674D" w:rsidRDefault="006B674D" w:rsidP="006B674D">
      <w:pPr>
        <w:spacing w:after="0" w:line="360" w:lineRule="auto"/>
        <w:rPr>
          <w:lang w:val="de-DE"/>
        </w:rPr>
      </w:pPr>
    </w:p>
    <w:p w14:paraId="1E2D5908" w14:textId="77777777" w:rsidR="006B674D" w:rsidRPr="00305C7D" w:rsidRDefault="006B674D" w:rsidP="006B674D">
      <w:pPr>
        <w:spacing w:after="0" w:line="360" w:lineRule="auto"/>
        <w:rPr>
          <w:lang w:val="de-DE"/>
        </w:rPr>
      </w:pPr>
      <w:r w:rsidRPr="00305C7D">
        <w:rPr>
          <w:b/>
          <w:lang w:val="de-DE"/>
        </w:rPr>
        <w:t>Bewährte Zusammenarbeit im Netzwerk</w:t>
      </w:r>
    </w:p>
    <w:p w14:paraId="4CBD4067" w14:textId="77777777" w:rsidR="006B674D" w:rsidRPr="006B674D" w:rsidRDefault="006B674D" w:rsidP="006B674D">
      <w:pPr>
        <w:spacing w:after="0" w:line="360" w:lineRule="auto"/>
        <w:rPr>
          <w:lang w:val="de-DE"/>
        </w:rPr>
      </w:pPr>
      <w:r w:rsidRPr="006B674D">
        <w:rPr>
          <w:lang w:val="de-DE"/>
        </w:rPr>
        <w:lastRenderedPageBreak/>
        <w:t>Die neue Partnerschaft knüpft an bestehende Kooperationen an. So verfügt HAINZL Motion &amp; Drives gemeinsam mit seiner tschechischen Tochtergesellschaft TECHNOTRADE bereits über Erfahrung als Vanguard-Technologiepartner. Dieses Know-how fließt nun in die erweiterte Zusammenarbeit ein und stärkt die Fähigkeit, zentraleuropäische OEMs umfassend zu unterstützen.</w:t>
      </w:r>
    </w:p>
    <w:p w14:paraId="135C879D" w14:textId="77777777" w:rsidR="006B674D" w:rsidRPr="006B674D" w:rsidRDefault="006B674D" w:rsidP="006B674D">
      <w:pPr>
        <w:spacing w:after="0" w:line="360" w:lineRule="auto"/>
        <w:rPr>
          <w:lang w:val="de-DE"/>
        </w:rPr>
      </w:pPr>
    </w:p>
    <w:p w14:paraId="5FCB3D7E" w14:textId="77777777" w:rsidR="006B674D" w:rsidRPr="006B674D" w:rsidRDefault="006B674D" w:rsidP="006B674D">
      <w:pPr>
        <w:spacing w:after="0" w:line="360" w:lineRule="auto"/>
        <w:rPr>
          <w:lang w:val="de-DE"/>
        </w:rPr>
      </w:pPr>
      <w:r w:rsidRPr="006B674D">
        <w:rPr>
          <w:lang w:val="de-DE"/>
        </w:rPr>
        <w:t xml:space="preserve">Paul Bramhall, Director Electrification &amp; Rental EMEA bei Briggs &amp; Stratton, betont die strategische Bedeutung der Partnerschaft: „Mit HAINZL Motion &amp; Drives gewinnen wir einen Partner, der unsere Werte in Bezug auf Qualität, Zuverlässigkeit und Kundennähe teilt. Die Zusammenarbeit ist ein weiterer Schritt, um unser internationales Partnernetzwerk gezielt auszubauen und OEMs in Europa bestmöglich bei der Elektrifizierung im Rahmen der Energiewende zu begleiten.“ Harald Schreibmüller, Vertriebsleiter bei HAINZL Motion &amp; Drives, unterstreicht: „Die Partnerschaft mit Vanguard ermöglicht </w:t>
      </w:r>
      <w:sdt>
        <w:sdtPr>
          <w:tag w:val="goog_rdk_0"/>
          <w:id w:val="2122722477"/>
        </w:sdtPr>
        <w:sdtContent>
          <w:r w:rsidRPr="006B674D">
            <w:rPr>
              <w:lang w:val="de-DE"/>
            </w:rPr>
            <w:t xml:space="preserve">es </w:t>
          </w:r>
        </w:sdtContent>
      </w:sdt>
      <w:r w:rsidRPr="006B674D">
        <w:rPr>
          <w:lang w:val="de-DE"/>
        </w:rPr>
        <w:t>uns, unsere Kunden im Bereich der Elektrifizierung mobiler Maschinen noch gezielter zu unterstützen. Die leistungsstarken Akkusysteme ergänzen unser Portfolio ideal und eröffnen neue Anwendungsfelder sowie Kundensegmente.“</w:t>
      </w:r>
    </w:p>
    <w:p w14:paraId="1302F21A" w14:textId="77777777" w:rsidR="006B674D" w:rsidRPr="006B674D" w:rsidRDefault="006B674D" w:rsidP="006B674D">
      <w:pPr>
        <w:spacing w:after="0" w:line="360" w:lineRule="auto"/>
        <w:rPr>
          <w:lang w:val="de-DE"/>
        </w:rPr>
      </w:pPr>
    </w:p>
    <w:p w14:paraId="730E956D" w14:textId="77777777" w:rsidR="006B674D" w:rsidRPr="006B674D" w:rsidRDefault="006B674D" w:rsidP="006B674D">
      <w:pPr>
        <w:spacing w:after="0" w:line="360" w:lineRule="auto"/>
        <w:rPr>
          <w:lang w:val="de-DE"/>
        </w:rPr>
      </w:pPr>
      <w:r w:rsidRPr="006B674D">
        <w:rPr>
          <w:b/>
          <w:lang w:val="de-DE"/>
        </w:rPr>
        <w:t>Elektrifizierung als Zukunftsthema für Maschinenhersteller</w:t>
      </w:r>
    </w:p>
    <w:p w14:paraId="11876977" w14:textId="77777777" w:rsidR="006B674D" w:rsidRPr="006B674D" w:rsidRDefault="006B674D" w:rsidP="006B674D">
      <w:pPr>
        <w:spacing w:after="0" w:line="360" w:lineRule="auto"/>
        <w:rPr>
          <w:lang w:val="de-DE"/>
        </w:rPr>
      </w:pPr>
      <w:r w:rsidRPr="006B674D">
        <w:rPr>
          <w:lang w:val="de-DE"/>
        </w:rPr>
        <w:t>Der zunehmende Umstieg auf elektrische Antriebssysteme stellt viele Maschinenhersteller vor neue Herausforderungen – insbesondere in Bezug auf Systemintegration, Skalierbarkeit und Leistungsanforderungen. Genau hier setzt Vanguard als Technologiepartner an und unterstützt OEMs mit seinem Netzwerk aus erfahrenen Systemanbietern bei der Entwicklung und Umsetzung effizienter Elektrifizierungslösungen.</w:t>
      </w:r>
    </w:p>
    <w:p w14:paraId="12E5BF3E" w14:textId="77777777" w:rsidR="006B674D" w:rsidRPr="006B674D" w:rsidRDefault="006B674D" w:rsidP="006B674D">
      <w:pPr>
        <w:spacing w:after="0" w:line="360" w:lineRule="auto"/>
        <w:rPr>
          <w:lang w:val="de-DE"/>
        </w:rPr>
      </w:pPr>
    </w:p>
    <w:p w14:paraId="12E66C2B" w14:textId="77777777" w:rsidR="006B674D" w:rsidRPr="006B674D" w:rsidRDefault="006B674D" w:rsidP="006B674D">
      <w:pPr>
        <w:spacing w:after="0" w:line="360" w:lineRule="auto"/>
        <w:rPr>
          <w:lang w:val="de-DE"/>
        </w:rPr>
      </w:pPr>
      <w:r w:rsidRPr="006B674D">
        <w:rPr>
          <w:lang w:val="de-DE"/>
        </w:rPr>
        <w:t>Durch die enge Zusammenarbeit von HAINZL Motion &amp; Drives und Briggs &amp; Stratton profitieren OEMs künftig von einem erweiterten Lösungsangebot für den Wandel hin zu emissionsfreier, elektrifizierter Maschinen- und Fahrzeugtechnik – technologisch fundiert und aus einer Hand.</w:t>
      </w:r>
    </w:p>
    <w:p w14:paraId="2CD05B67" w14:textId="77777777" w:rsidR="006B674D" w:rsidRPr="006B674D" w:rsidRDefault="006B674D" w:rsidP="006B674D">
      <w:pPr>
        <w:spacing w:after="0" w:line="360" w:lineRule="auto"/>
        <w:rPr>
          <w:lang w:val="de-DE"/>
        </w:rPr>
      </w:pPr>
    </w:p>
    <w:p w14:paraId="504F5795" w14:textId="77777777" w:rsidR="006B674D" w:rsidRPr="006B674D" w:rsidRDefault="006B674D" w:rsidP="006B674D">
      <w:pPr>
        <w:spacing w:before="240" w:after="240"/>
        <w:rPr>
          <w:lang w:val="de-DE"/>
        </w:rPr>
      </w:pPr>
      <w:r w:rsidRPr="006B674D">
        <w:rPr>
          <w:lang w:val="de-DE"/>
        </w:rPr>
        <w:t xml:space="preserve">Weitere Informationen: </w:t>
      </w:r>
      <w:hyperlink r:id="rId11">
        <w:r w:rsidRPr="006B674D">
          <w:rPr>
            <w:color w:val="0000FF"/>
            <w:u w:val="single"/>
            <w:lang w:val="de-DE"/>
          </w:rPr>
          <w:t>www.vanguardpower.com</w:t>
        </w:r>
      </w:hyperlink>
    </w:p>
    <w:p w14:paraId="0EDFCED1" w14:textId="77777777" w:rsidR="006B674D" w:rsidRPr="006B674D" w:rsidRDefault="006B674D" w:rsidP="006B674D">
      <w:pPr>
        <w:rPr>
          <w:lang w:val="de-DE"/>
        </w:rPr>
      </w:pPr>
    </w:p>
    <w:p w14:paraId="3B0DD9AE" w14:textId="77777777" w:rsidR="006B674D" w:rsidRPr="006B674D" w:rsidRDefault="006B674D" w:rsidP="006B674D">
      <w:pPr>
        <w:spacing w:after="0" w:line="360" w:lineRule="auto"/>
        <w:rPr>
          <w:i/>
          <w:sz w:val="20"/>
          <w:szCs w:val="20"/>
          <w:lang w:val="de-DE"/>
        </w:rPr>
      </w:pPr>
      <w:r w:rsidRPr="006B674D">
        <w:rPr>
          <w:i/>
          <w:sz w:val="20"/>
          <w:szCs w:val="20"/>
          <w:lang w:val="de-DE"/>
        </w:rPr>
        <w:t>Foto: Briggs &amp; Stratton / Hainzl</w:t>
      </w:r>
    </w:p>
    <w:p w14:paraId="1D64B311" w14:textId="77777777" w:rsidR="006B674D" w:rsidRPr="006B674D" w:rsidRDefault="006B674D" w:rsidP="006B674D">
      <w:pPr>
        <w:spacing w:after="0" w:line="360" w:lineRule="auto"/>
        <w:rPr>
          <w:i/>
          <w:sz w:val="20"/>
          <w:szCs w:val="20"/>
          <w:lang w:val="de-DE"/>
        </w:rPr>
      </w:pPr>
    </w:p>
    <w:p w14:paraId="3B365843" w14:textId="77777777" w:rsidR="006B674D" w:rsidRDefault="006B674D" w:rsidP="006B674D">
      <w:pPr>
        <w:spacing w:after="0" w:line="360" w:lineRule="auto"/>
        <w:rPr>
          <w:i/>
          <w:sz w:val="20"/>
          <w:szCs w:val="20"/>
        </w:rPr>
      </w:pPr>
      <w:r>
        <w:rPr>
          <w:noProof/>
        </w:rPr>
        <w:drawing>
          <wp:inline distT="0" distB="0" distL="0" distR="0" wp14:anchorId="5B923275" wp14:editId="12A6A4FF">
            <wp:extent cx="2876550" cy="1619250"/>
            <wp:effectExtent l="0" t="0" r="0" b="0"/>
            <wp:docPr id="2035505028" name="Grafik 1" descr="Ein Bild, das Kleidung, Person, Lächeln,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05028" name="Grafik 1" descr="Ein Bild, das Kleidung, Person, Lächeln, Mann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a:ln>
                      <a:noFill/>
                    </a:ln>
                  </pic:spPr>
                </pic:pic>
              </a:graphicData>
            </a:graphic>
          </wp:inline>
        </w:drawing>
      </w:r>
    </w:p>
    <w:p w14:paraId="2EE4C7F3" w14:textId="77777777" w:rsidR="006B674D" w:rsidRDefault="006B674D" w:rsidP="006B674D">
      <w:pPr>
        <w:spacing w:after="0" w:line="360" w:lineRule="auto"/>
        <w:rPr>
          <w:i/>
          <w:sz w:val="20"/>
          <w:szCs w:val="20"/>
        </w:rPr>
      </w:pPr>
      <w:r>
        <w:rPr>
          <w:i/>
          <w:sz w:val="20"/>
          <w:szCs w:val="20"/>
        </w:rPr>
        <w:t xml:space="preserve">V.l.n.r.: Manuel Eisner, Sales Manager HAINZL Motion &amp; Drives, Harald Schreibmüller, Vertriebsleiter HAINZL Motion &amp; Drives, Kristina Cerniglia, CEO Briggs &amp; Stratton, David Frank, SVP &amp; President Electrification Briggs &amp; Stratton, Manuel Friedinger, Sales Manager HAINZL Motion &amp; Drives </w:t>
      </w:r>
    </w:p>
    <w:p w14:paraId="19D7854E" w14:textId="77777777" w:rsidR="006B674D" w:rsidRDefault="006B674D" w:rsidP="006B674D">
      <w:pPr>
        <w:spacing w:after="0" w:line="360" w:lineRule="auto"/>
        <w:rPr>
          <w:i/>
          <w:sz w:val="20"/>
          <w:szCs w:val="20"/>
        </w:rPr>
      </w:pPr>
    </w:p>
    <w:p w14:paraId="7C21B482" w14:textId="77777777" w:rsidR="006B674D" w:rsidRDefault="006B674D" w:rsidP="006B674D">
      <w:pPr>
        <w:spacing w:after="0" w:line="360" w:lineRule="auto"/>
        <w:rPr>
          <w:i/>
          <w:sz w:val="20"/>
          <w:szCs w:val="20"/>
        </w:rPr>
      </w:pPr>
    </w:p>
    <w:p w14:paraId="3416E1C1" w14:textId="77777777" w:rsidR="006B674D" w:rsidRPr="006B674D" w:rsidRDefault="006B674D" w:rsidP="006B674D">
      <w:pPr>
        <w:rPr>
          <w:lang w:val="de-DE"/>
        </w:rPr>
      </w:pPr>
      <w:r w:rsidRPr="006B674D">
        <w:rPr>
          <w:lang w:val="de-DE"/>
        </w:rPr>
        <w:t>Ü</w:t>
      </w:r>
      <w:r w:rsidRPr="006B674D">
        <w:rPr>
          <w:b/>
          <w:lang w:val="de-DE"/>
        </w:rPr>
        <w:t>ber Briggs &amp; Stratton:</w:t>
      </w:r>
    </w:p>
    <w:p w14:paraId="6CDF6CC5" w14:textId="77777777" w:rsidR="006B674D" w:rsidRPr="006B674D" w:rsidRDefault="006B674D" w:rsidP="006B674D">
      <w:pPr>
        <w:spacing w:after="0" w:line="360" w:lineRule="auto"/>
        <w:rPr>
          <w:lang w:val="de-DE"/>
        </w:rPr>
      </w:pPr>
      <w:r w:rsidRPr="006B674D">
        <w:rPr>
          <w:lang w:val="de-DE"/>
        </w:rPr>
        <w:t xml:space="preserve">Briggs &amp; Stratton mit Hauptsitz in Milwaukee, Wisconsin, ist darauf ausgerichtet, Antriebstechnik für die unterschiedlichsten Aufgaben anzubieten und den Komfort für Anwender zu verbessern. Briggs &amp; Stratton ist der weltweit größte Hersteller von Benzinmotoren für motorisierte Gartengeräte und ein führender Entwickler, Hersteller und Vermarkter von </w:t>
      </w:r>
      <w:r w:rsidRPr="006B674D">
        <w:rPr>
          <w:highlight w:val="white"/>
          <w:lang w:val="de-DE"/>
        </w:rPr>
        <w:t xml:space="preserve">Lithium-Ionen-Akkus, </w:t>
      </w:r>
      <w:r w:rsidRPr="006B674D">
        <w:rPr>
          <w:lang w:val="de-DE"/>
        </w:rPr>
        <w:t xml:space="preserve">Stromerzeugungs-, Hochdruckreiniger-, Rasen- und Garten-, Rasenpflege- und Baustellenprodukten. Zu seinen Marken zählen Briggs &amp; Stratton®, Vanguard®, Ferris®, Simplicity®, Snapper®, Billy Goat®, Allmand®, Branco® und Victa®. Produkte von Briggs &amp; Stratton werden in über 100 Ländern auf sechs Kontinenten entwickelt, hergestellt, vermarktet und gewartet. Weitere Informationen finden Sie unter www.briggsandstratton.com. </w:t>
      </w:r>
    </w:p>
    <w:p w14:paraId="525CC298" w14:textId="77777777" w:rsidR="006B674D" w:rsidRPr="006B674D" w:rsidRDefault="006B674D" w:rsidP="006B674D">
      <w:pPr>
        <w:spacing w:after="0" w:line="360" w:lineRule="auto"/>
        <w:rPr>
          <w:lang w:val="de-DE"/>
        </w:rPr>
      </w:pPr>
    </w:p>
    <w:p w14:paraId="4BA212F7" w14:textId="77777777" w:rsidR="006B674D" w:rsidRPr="008B7BD1" w:rsidRDefault="006B674D" w:rsidP="006B674D">
      <w:pPr>
        <w:spacing w:after="0" w:line="360" w:lineRule="auto"/>
        <w:rPr>
          <w:b/>
          <w:bCs/>
          <w:lang w:val="de-DE"/>
        </w:rPr>
      </w:pPr>
      <w:r w:rsidRPr="008B7BD1">
        <w:rPr>
          <w:b/>
          <w:bCs/>
          <w:lang w:val="de-DE"/>
        </w:rPr>
        <w:t>Über Hainzl:</w:t>
      </w:r>
    </w:p>
    <w:p w14:paraId="21DAF978" w14:textId="24A6DE4A" w:rsidR="001052C3" w:rsidRPr="006B674D" w:rsidRDefault="006B674D" w:rsidP="001052C3">
      <w:pPr>
        <w:spacing w:after="0" w:line="360" w:lineRule="auto"/>
        <w:rPr>
          <w:lang w:val="de-DE"/>
        </w:rPr>
      </w:pPr>
      <w:r w:rsidRPr="006B674D">
        <w:rPr>
          <w:lang w:val="de-DE"/>
        </w:rPr>
        <w:t>HAINZL Motion &amp; Drives ist ein führender Anbieter maßgeschneiderter Antriebslösungen für mobile Arbeitsmaschinen und Off-Highway-Fahrzeuge. Mit umfassendem Know-how in Hydraulik, Elektromechanik und Steuerungstechnik bietet HAINZL Motion &amp; Drives sowohl einzelne Komponenten als auch vollständig integrierte Komplettsysteme an. Das Unternehmen begleitet seine Kunden von der ersten Idee über die technische Konzeption bis hin zur Inbetriebnahme und langfristigen Wartung.</w:t>
      </w:r>
    </w:p>
    <w:sectPr w:rsidR="001052C3" w:rsidRPr="006B674D" w:rsidSect="008B7BD1">
      <w:headerReference w:type="default" r:id="rId13"/>
      <w:type w:val="continuous"/>
      <w:pgSz w:w="12240" w:h="15840"/>
      <w:pgMar w:top="2694" w:right="274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EE8D" w14:textId="77777777" w:rsidR="00C10C71" w:rsidRDefault="00C10C71">
      <w:pPr>
        <w:spacing w:after="0" w:line="240" w:lineRule="auto"/>
      </w:pPr>
      <w:r>
        <w:separator/>
      </w:r>
    </w:p>
  </w:endnote>
  <w:endnote w:type="continuationSeparator" w:id="0">
    <w:p w14:paraId="100FF8CB" w14:textId="77777777" w:rsidR="00C10C71" w:rsidRDefault="00C1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D7C3" w14:textId="77777777" w:rsidR="00C10C71" w:rsidRDefault="00C10C71">
      <w:pPr>
        <w:spacing w:after="0" w:line="240" w:lineRule="auto"/>
      </w:pPr>
      <w:r>
        <w:separator/>
      </w:r>
    </w:p>
  </w:footnote>
  <w:footnote w:type="continuationSeparator" w:id="0">
    <w:p w14:paraId="78398BD8" w14:textId="77777777" w:rsidR="00C10C71" w:rsidRDefault="00C1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Default="00FE03AC">
    <w:pPr>
      <w:pStyle w:val="Kopfzeile"/>
    </w:pPr>
    <w:r>
      <w:rPr>
        <w:noProof/>
        <w:lang w:val="de-DE" w:eastAsia="de-DE"/>
      </w:rPr>
      <w:drawing>
        <wp:inline distT="0" distB="0" distL="0" distR="0" wp14:anchorId="032B9A44" wp14:editId="694138B0">
          <wp:extent cx="5975371" cy="835025"/>
          <wp:effectExtent l="0" t="0" r="6350" b="3175"/>
          <wp:docPr id="113957714" name="Grafik 11395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F33EEC"/>
    <w:multiLevelType w:val="multilevel"/>
    <w:tmpl w:val="4574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3506727">
    <w:abstractNumId w:val="0"/>
  </w:num>
  <w:num w:numId="2" w16cid:durableId="213767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446D"/>
    <w:rsid w:val="00017E2C"/>
    <w:rsid w:val="00021E93"/>
    <w:rsid w:val="00023621"/>
    <w:rsid w:val="00030ED9"/>
    <w:rsid w:val="00040C2C"/>
    <w:rsid w:val="00047127"/>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487E"/>
    <w:rsid w:val="000F7696"/>
    <w:rsid w:val="001052C3"/>
    <w:rsid w:val="001076DB"/>
    <w:rsid w:val="00107F54"/>
    <w:rsid w:val="00114FF5"/>
    <w:rsid w:val="001429D3"/>
    <w:rsid w:val="00142A1D"/>
    <w:rsid w:val="00164121"/>
    <w:rsid w:val="00173A14"/>
    <w:rsid w:val="001770ED"/>
    <w:rsid w:val="00186E53"/>
    <w:rsid w:val="00191563"/>
    <w:rsid w:val="00195633"/>
    <w:rsid w:val="001A2148"/>
    <w:rsid w:val="001B1766"/>
    <w:rsid w:val="001B6FE9"/>
    <w:rsid w:val="001B7B5C"/>
    <w:rsid w:val="001C181D"/>
    <w:rsid w:val="001C3D24"/>
    <w:rsid w:val="001D6997"/>
    <w:rsid w:val="001F12DF"/>
    <w:rsid w:val="001F4409"/>
    <w:rsid w:val="001F75D6"/>
    <w:rsid w:val="0020007F"/>
    <w:rsid w:val="00200FDA"/>
    <w:rsid w:val="0020151D"/>
    <w:rsid w:val="00202382"/>
    <w:rsid w:val="00215870"/>
    <w:rsid w:val="0021667C"/>
    <w:rsid w:val="00220083"/>
    <w:rsid w:val="002226AE"/>
    <w:rsid w:val="00222A6C"/>
    <w:rsid w:val="00223473"/>
    <w:rsid w:val="002235A3"/>
    <w:rsid w:val="00224134"/>
    <w:rsid w:val="002268DC"/>
    <w:rsid w:val="00233FD2"/>
    <w:rsid w:val="00236BEA"/>
    <w:rsid w:val="00257868"/>
    <w:rsid w:val="00260AF4"/>
    <w:rsid w:val="00272DBF"/>
    <w:rsid w:val="0027767F"/>
    <w:rsid w:val="00282123"/>
    <w:rsid w:val="0029533A"/>
    <w:rsid w:val="002A1E49"/>
    <w:rsid w:val="002A4644"/>
    <w:rsid w:val="002D329F"/>
    <w:rsid w:val="002E04BD"/>
    <w:rsid w:val="002F2644"/>
    <w:rsid w:val="002F7943"/>
    <w:rsid w:val="0030001D"/>
    <w:rsid w:val="00305B36"/>
    <w:rsid w:val="00305C7D"/>
    <w:rsid w:val="0030656F"/>
    <w:rsid w:val="003122E1"/>
    <w:rsid w:val="00317B2A"/>
    <w:rsid w:val="003220ED"/>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B5267"/>
    <w:rsid w:val="003C0CD6"/>
    <w:rsid w:val="003C1E89"/>
    <w:rsid w:val="003C6220"/>
    <w:rsid w:val="003C6B5C"/>
    <w:rsid w:val="003D05A4"/>
    <w:rsid w:val="003D7997"/>
    <w:rsid w:val="003E31F4"/>
    <w:rsid w:val="003E3447"/>
    <w:rsid w:val="003F4CF2"/>
    <w:rsid w:val="00405AFE"/>
    <w:rsid w:val="004213E9"/>
    <w:rsid w:val="00430889"/>
    <w:rsid w:val="00434C8A"/>
    <w:rsid w:val="00453558"/>
    <w:rsid w:val="00463C96"/>
    <w:rsid w:val="004660F5"/>
    <w:rsid w:val="004710D5"/>
    <w:rsid w:val="0047297B"/>
    <w:rsid w:val="004768B7"/>
    <w:rsid w:val="00480705"/>
    <w:rsid w:val="00485E5A"/>
    <w:rsid w:val="0049171F"/>
    <w:rsid w:val="00493B1C"/>
    <w:rsid w:val="0049455A"/>
    <w:rsid w:val="00496E53"/>
    <w:rsid w:val="004A4CA6"/>
    <w:rsid w:val="004C4C07"/>
    <w:rsid w:val="004E0BC4"/>
    <w:rsid w:val="00504B5B"/>
    <w:rsid w:val="005118CC"/>
    <w:rsid w:val="00522171"/>
    <w:rsid w:val="00525F1A"/>
    <w:rsid w:val="005509C8"/>
    <w:rsid w:val="005564F5"/>
    <w:rsid w:val="005721FA"/>
    <w:rsid w:val="005752C6"/>
    <w:rsid w:val="00577207"/>
    <w:rsid w:val="0058758D"/>
    <w:rsid w:val="00590CEA"/>
    <w:rsid w:val="0059379A"/>
    <w:rsid w:val="005969DB"/>
    <w:rsid w:val="005A5D6B"/>
    <w:rsid w:val="005B0B23"/>
    <w:rsid w:val="005B0B9B"/>
    <w:rsid w:val="005B166D"/>
    <w:rsid w:val="005B397C"/>
    <w:rsid w:val="005B4AF9"/>
    <w:rsid w:val="005B5F71"/>
    <w:rsid w:val="005B7074"/>
    <w:rsid w:val="005C02F8"/>
    <w:rsid w:val="005C0BF2"/>
    <w:rsid w:val="005C1E95"/>
    <w:rsid w:val="005C77C6"/>
    <w:rsid w:val="005D049C"/>
    <w:rsid w:val="005D0684"/>
    <w:rsid w:val="005D24AE"/>
    <w:rsid w:val="005D35EF"/>
    <w:rsid w:val="005D5B48"/>
    <w:rsid w:val="005E6693"/>
    <w:rsid w:val="0060258B"/>
    <w:rsid w:val="00607DA2"/>
    <w:rsid w:val="0062141F"/>
    <w:rsid w:val="00626E1F"/>
    <w:rsid w:val="00631484"/>
    <w:rsid w:val="00635A82"/>
    <w:rsid w:val="00637B29"/>
    <w:rsid w:val="00644B0B"/>
    <w:rsid w:val="00647954"/>
    <w:rsid w:val="00650FBE"/>
    <w:rsid w:val="006636B2"/>
    <w:rsid w:val="00684AF6"/>
    <w:rsid w:val="0069571A"/>
    <w:rsid w:val="00697A26"/>
    <w:rsid w:val="006A1D25"/>
    <w:rsid w:val="006B07C4"/>
    <w:rsid w:val="006B3C9B"/>
    <w:rsid w:val="006B674D"/>
    <w:rsid w:val="006C2146"/>
    <w:rsid w:val="006C7D28"/>
    <w:rsid w:val="006D5F04"/>
    <w:rsid w:val="006D7B82"/>
    <w:rsid w:val="006E6F36"/>
    <w:rsid w:val="006F55B8"/>
    <w:rsid w:val="00701669"/>
    <w:rsid w:val="007043C1"/>
    <w:rsid w:val="00732B56"/>
    <w:rsid w:val="00732EDE"/>
    <w:rsid w:val="00743629"/>
    <w:rsid w:val="00755EE1"/>
    <w:rsid w:val="00761468"/>
    <w:rsid w:val="00777545"/>
    <w:rsid w:val="007A3F83"/>
    <w:rsid w:val="007C3CDD"/>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A1015"/>
    <w:rsid w:val="008B071B"/>
    <w:rsid w:val="008B3A3D"/>
    <w:rsid w:val="008B517D"/>
    <w:rsid w:val="008B7BD1"/>
    <w:rsid w:val="008E0E2A"/>
    <w:rsid w:val="008E1BB1"/>
    <w:rsid w:val="008E3F00"/>
    <w:rsid w:val="008E4CAE"/>
    <w:rsid w:val="008E5BA9"/>
    <w:rsid w:val="008E7B42"/>
    <w:rsid w:val="008F0BC8"/>
    <w:rsid w:val="008F0DEE"/>
    <w:rsid w:val="008F1DB2"/>
    <w:rsid w:val="00905FC0"/>
    <w:rsid w:val="00910CA1"/>
    <w:rsid w:val="009122F3"/>
    <w:rsid w:val="00912F24"/>
    <w:rsid w:val="0091726B"/>
    <w:rsid w:val="00940330"/>
    <w:rsid w:val="00944492"/>
    <w:rsid w:val="00953D88"/>
    <w:rsid w:val="00955486"/>
    <w:rsid w:val="009643E6"/>
    <w:rsid w:val="0097662B"/>
    <w:rsid w:val="0098486F"/>
    <w:rsid w:val="009852BD"/>
    <w:rsid w:val="0099137D"/>
    <w:rsid w:val="009934F1"/>
    <w:rsid w:val="009A4481"/>
    <w:rsid w:val="009A5046"/>
    <w:rsid w:val="009B3ADF"/>
    <w:rsid w:val="009B5B96"/>
    <w:rsid w:val="009D3FFB"/>
    <w:rsid w:val="009D7010"/>
    <w:rsid w:val="009F2D70"/>
    <w:rsid w:val="009F4653"/>
    <w:rsid w:val="00A052B4"/>
    <w:rsid w:val="00A05AC8"/>
    <w:rsid w:val="00A12B48"/>
    <w:rsid w:val="00A20E68"/>
    <w:rsid w:val="00A23FA0"/>
    <w:rsid w:val="00A255C5"/>
    <w:rsid w:val="00A31E3A"/>
    <w:rsid w:val="00A53927"/>
    <w:rsid w:val="00A555F4"/>
    <w:rsid w:val="00A65FE8"/>
    <w:rsid w:val="00A7009B"/>
    <w:rsid w:val="00A74414"/>
    <w:rsid w:val="00A76FE8"/>
    <w:rsid w:val="00AA605C"/>
    <w:rsid w:val="00AB0D53"/>
    <w:rsid w:val="00AB0EAD"/>
    <w:rsid w:val="00AB16A8"/>
    <w:rsid w:val="00AB3CA2"/>
    <w:rsid w:val="00AC14E0"/>
    <w:rsid w:val="00AC389F"/>
    <w:rsid w:val="00AD1AE5"/>
    <w:rsid w:val="00AE50A2"/>
    <w:rsid w:val="00AE7059"/>
    <w:rsid w:val="00AF5974"/>
    <w:rsid w:val="00AF6E4D"/>
    <w:rsid w:val="00B01137"/>
    <w:rsid w:val="00B064F3"/>
    <w:rsid w:val="00B105D3"/>
    <w:rsid w:val="00B12011"/>
    <w:rsid w:val="00B144DF"/>
    <w:rsid w:val="00B14A5C"/>
    <w:rsid w:val="00B16588"/>
    <w:rsid w:val="00B21129"/>
    <w:rsid w:val="00B24E77"/>
    <w:rsid w:val="00B33313"/>
    <w:rsid w:val="00B33A4F"/>
    <w:rsid w:val="00B419C4"/>
    <w:rsid w:val="00B46614"/>
    <w:rsid w:val="00B5131A"/>
    <w:rsid w:val="00B51DF1"/>
    <w:rsid w:val="00B54A2E"/>
    <w:rsid w:val="00B64344"/>
    <w:rsid w:val="00B721BB"/>
    <w:rsid w:val="00B72B40"/>
    <w:rsid w:val="00B75E3F"/>
    <w:rsid w:val="00B832E7"/>
    <w:rsid w:val="00B904F6"/>
    <w:rsid w:val="00B96CA5"/>
    <w:rsid w:val="00BA246A"/>
    <w:rsid w:val="00BB0EAA"/>
    <w:rsid w:val="00BC4A60"/>
    <w:rsid w:val="00BC554E"/>
    <w:rsid w:val="00BC7406"/>
    <w:rsid w:val="00BD1192"/>
    <w:rsid w:val="00BD61B1"/>
    <w:rsid w:val="00BD7D70"/>
    <w:rsid w:val="00BE2582"/>
    <w:rsid w:val="00BE73F4"/>
    <w:rsid w:val="00BF3F2B"/>
    <w:rsid w:val="00BF5109"/>
    <w:rsid w:val="00C00ED0"/>
    <w:rsid w:val="00C04AD7"/>
    <w:rsid w:val="00C101B1"/>
    <w:rsid w:val="00C10C71"/>
    <w:rsid w:val="00C11146"/>
    <w:rsid w:val="00C1127F"/>
    <w:rsid w:val="00C207D1"/>
    <w:rsid w:val="00C2135A"/>
    <w:rsid w:val="00C27F42"/>
    <w:rsid w:val="00C440D7"/>
    <w:rsid w:val="00C45F7E"/>
    <w:rsid w:val="00C60E33"/>
    <w:rsid w:val="00C720EE"/>
    <w:rsid w:val="00C734E7"/>
    <w:rsid w:val="00C760E5"/>
    <w:rsid w:val="00C7611A"/>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4226"/>
    <w:rsid w:val="00DA6C0A"/>
    <w:rsid w:val="00DB2B49"/>
    <w:rsid w:val="00DC000A"/>
    <w:rsid w:val="00DC6417"/>
    <w:rsid w:val="00DD0793"/>
    <w:rsid w:val="00DD7CB2"/>
    <w:rsid w:val="00DE1E8A"/>
    <w:rsid w:val="00DE4347"/>
    <w:rsid w:val="00DE51D5"/>
    <w:rsid w:val="00DF1167"/>
    <w:rsid w:val="00DF315A"/>
    <w:rsid w:val="00E035C8"/>
    <w:rsid w:val="00E0644D"/>
    <w:rsid w:val="00E06BA9"/>
    <w:rsid w:val="00E12AAF"/>
    <w:rsid w:val="00E12BE0"/>
    <w:rsid w:val="00E12ECA"/>
    <w:rsid w:val="00E17E36"/>
    <w:rsid w:val="00E2067E"/>
    <w:rsid w:val="00E30AFB"/>
    <w:rsid w:val="00E3632B"/>
    <w:rsid w:val="00E56024"/>
    <w:rsid w:val="00E5755D"/>
    <w:rsid w:val="00E643D1"/>
    <w:rsid w:val="00E74E62"/>
    <w:rsid w:val="00EB7229"/>
    <w:rsid w:val="00EC1A6A"/>
    <w:rsid w:val="00ED3311"/>
    <w:rsid w:val="00ED51EE"/>
    <w:rsid w:val="00ED5906"/>
    <w:rsid w:val="00EE4B42"/>
    <w:rsid w:val="00EF5DC7"/>
    <w:rsid w:val="00F1334E"/>
    <w:rsid w:val="00F2167B"/>
    <w:rsid w:val="00F250CB"/>
    <w:rsid w:val="00F257F7"/>
    <w:rsid w:val="00F26EAA"/>
    <w:rsid w:val="00F30137"/>
    <w:rsid w:val="00F330EA"/>
    <w:rsid w:val="00F3324C"/>
    <w:rsid w:val="00F33F10"/>
    <w:rsid w:val="00F34C25"/>
    <w:rsid w:val="00F5185A"/>
    <w:rsid w:val="00F54458"/>
    <w:rsid w:val="00F70E04"/>
    <w:rsid w:val="00F7564D"/>
    <w:rsid w:val="00F77098"/>
    <w:rsid w:val="00F80247"/>
    <w:rsid w:val="00F81322"/>
    <w:rsid w:val="00F8250C"/>
    <w:rsid w:val="00F8627F"/>
    <w:rsid w:val="00F968A1"/>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641">
      <w:bodyDiv w:val="1"/>
      <w:marLeft w:val="0"/>
      <w:marRight w:val="0"/>
      <w:marTop w:val="0"/>
      <w:marBottom w:val="0"/>
      <w:divBdr>
        <w:top w:val="none" w:sz="0" w:space="0" w:color="auto"/>
        <w:left w:val="none" w:sz="0" w:space="0" w:color="auto"/>
        <w:bottom w:val="none" w:sz="0" w:space="0" w:color="auto"/>
        <w:right w:val="none" w:sz="0" w:space="0" w:color="auto"/>
      </w:divBdr>
    </w:div>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9723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nguardpow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customXml/itemProps3.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B585C-722F-4149-9552-BA57B1485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7</cp:revision>
  <cp:lastPrinted>2020-09-21T00:30:00Z</cp:lastPrinted>
  <dcterms:created xsi:type="dcterms:W3CDTF">2025-06-20T12:13:00Z</dcterms:created>
  <dcterms:modified xsi:type="dcterms:W3CDTF">2025-07-03T06:34:00Z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