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4861" w14:textId="4D63F591" w:rsidR="007D0643" w:rsidRPr="00813415" w:rsidRDefault="0091726B" w:rsidP="007D0643">
      <w:pPr>
        <w:spacing w:after="0" w:line="360" w:lineRule="auto"/>
        <w:rPr>
          <w:rFonts w:asciiTheme="majorHAnsi" w:eastAsia="Arial" w:hAnsiTheme="majorHAnsi" w:cstheme="majorHAnsi"/>
          <w:b/>
          <w:sz w:val="32"/>
          <w:szCs w:val="32"/>
          <w:lang w:val="de-DE"/>
        </w:rPr>
      </w:pPr>
      <w:r w:rsidRPr="00813415">
        <w:rPr>
          <w:rFonts w:asciiTheme="majorHAnsi" w:eastAsia="Arial" w:hAnsiTheme="majorHAnsi" w:cstheme="majorHAnsi"/>
          <w:b/>
          <w:sz w:val="32"/>
          <w:szCs w:val="32"/>
          <w:lang w:val="de-DE"/>
        </w:rPr>
        <w:t>Medien-Information</w:t>
      </w:r>
    </w:p>
    <w:p w14:paraId="7CCB7545" w14:textId="4D1B3DFF" w:rsidR="0030001D" w:rsidRPr="00813415" w:rsidRDefault="006636B2" w:rsidP="007D0643">
      <w:pPr>
        <w:spacing w:after="0" w:line="360" w:lineRule="auto"/>
        <w:rPr>
          <w:rFonts w:asciiTheme="majorHAnsi" w:eastAsia="Arial" w:hAnsiTheme="majorHAnsi" w:cstheme="majorHAnsi"/>
          <w:b/>
          <w:lang w:val="de-DE"/>
        </w:rPr>
      </w:pPr>
      <w:r w:rsidRPr="00813415">
        <w:rPr>
          <w:rFonts w:asciiTheme="majorHAnsi" w:eastAsia="Arial" w:hAnsiTheme="majorHAnsi" w:cstheme="majorHAnsi"/>
          <w:b/>
          <w:bCs/>
          <w:lang w:val="de-DE"/>
        </w:rPr>
        <w:t>Z</w:t>
      </w:r>
      <w:r w:rsidR="001A2148" w:rsidRPr="00813415">
        <w:rPr>
          <w:rFonts w:asciiTheme="majorHAnsi" w:eastAsia="Arial" w:hAnsiTheme="majorHAnsi" w:cstheme="majorHAnsi"/>
          <w:b/>
          <w:bCs/>
          <w:lang w:val="de-DE"/>
        </w:rPr>
        <w:t>ur</w:t>
      </w:r>
      <w:r w:rsidRPr="00813415">
        <w:rPr>
          <w:rFonts w:asciiTheme="majorHAnsi" w:eastAsia="Arial" w:hAnsiTheme="majorHAnsi" w:cstheme="majorHAnsi"/>
          <w:b/>
          <w:bCs/>
          <w:lang w:val="de-DE"/>
        </w:rPr>
        <w:t xml:space="preserve"> </w:t>
      </w:r>
      <w:r w:rsidR="001A2148" w:rsidRPr="00813415">
        <w:rPr>
          <w:rFonts w:asciiTheme="majorHAnsi" w:eastAsia="Arial" w:hAnsiTheme="majorHAnsi" w:cstheme="majorHAnsi"/>
          <w:b/>
          <w:bCs/>
          <w:lang w:val="de-DE"/>
        </w:rPr>
        <w:t>sofortigen</w:t>
      </w:r>
      <w:r w:rsidRPr="00813415">
        <w:rPr>
          <w:rFonts w:asciiTheme="majorHAnsi" w:eastAsia="Arial" w:hAnsiTheme="majorHAnsi" w:cstheme="majorHAnsi"/>
          <w:b/>
          <w:bCs/>
          <w:lang w:val="de-DE"/>
        </w:rPr>
        <w:t xml:space="preserve"> V</w:t>
      </w:r>
      <w:r w:rsidR="001A2148" w:rsidRPr="00813415">
        <w:rPr>
          <w:rFonts w:asciiTheme="majorHAnsi" w:eastAsia="Arial" w:hAnsiTheme="majorHAnsi" w:cstheme="majorHAnsi"/>
          <w:b/>
          <w:bCs/>
          <w:lang w:val="de-DE"/>
        </w:rPr>
        <w:t>eröffentlichung</w:t>
      </w:r>
    </w:p>
    <w:p w14:paraId="38CB8243" w14:textId="77777777" w:rsidR="001A2148" w:rsidRPr="00813415" w:rsidRDefault="001A2148" w:rsidP="007D0643">
      <w:pPr>
        <w:spacing w:after="0" w:line="360" w:lineRule="auto"/>
        <w:rPr>
          <w:rFonts w:asciiTheme="majorHAnsi" w:eastAsia="Arial" w:hAnsiTheme="majorHAnsi" w:cstheme="majorHAnsi"/>
          <w:lang w:val="de-DE"/>
        </w:rPr>
      </w:pPr>
    </w:p>
    <w:p w14:paraId="6B3F61A9" w14:textId="6C8A5D65" w:rsidR="008E4CAE" w:rsidRPr="00813415" w:rsidRDefault="006636B2" w:rsidP="007D0643">
      <w:pPr>
        <w:spacing w:after="0" w:line="360" w:lineRule="auto"/>
        <w:rPr>
          <w:rFonts w:asciiTheme="majorHAnsi" w:eastAsia="Arial" w:hAnsiTheme="majorHAnsi" w:cstheme="majorHAnsi"/>
          <w:lang w:val="de-DE"/>
        </w:rPr>
      </w:pPr>
      <w:r w:rsidRPr="00813415">
        <w:rPr>
          <w:rFonts w:asciiTheme="majorHAnsi" w:eastAsia="Arial" w:hAnsiTheme="majorHAnsi" w:cstheme="majorHAnsi"/>
          <w:lang w:val="de-DE"/>
        </w:rPr>
        <w:t xml:space="preserve">Kontakt: </w:t>
      </w:r>
    </w:p>
    <w:p w14:paraId="65342578" w14:textId="4A926532" w:rsidR="0030001D" w:rsidRPr="00ED5906" w:rsidRDefault="00ED5906" w:rsidP="00ED5906">
      <w:pPr>
        <w:pStyle w:val="Listenabsatz"/>
        <w:numPr>
          <w:ilvl w:val="0"/>
          <w:numId w:val="1"/>
        </w:numPr>
        <w:spacing w:after="0" w:line="360" w:lineRule="auto"/>
        <w:rPr>
          <w:rFonts w:asciiTheme="majorHAnsi" w:hAnsiTheme="majorHAnsi" w:cstheme="majorHAnsi"/>
          <w:b/>
          <w:sz w:val="24"/>
          <w:szCs w:val="24"/>
          <w:lang w:val="de-DE"/>
        </w:rPr>
      </w:pPr>
      <w:r w:rsidRPr="00ED5906">
        <w:rPr>
          <w:rFonts w:asciiTheme="majorHAnsi" w:eastAsia="Arial" w:hAnsiTheme="majorHAnsi" w:cstheme="majorHAnsi"/>
          <w:lang w:val="de-DE"/>
        </w:rPr>
        <w:t>Kay-Uwe Müller, Pressebüro Tschorn &amp; Partner, +49 6201 5 78 78,</w:t>
      </w:r>
      <w:r>
        <w:rPr>
          <w:rFonts w:asciiTheme="majorHAnsi" w:eastAsia="Arial" w:hAnsiTheme="majorHAnsi" w:cstheme="majorHAnsi"/>
          <w:lang w:val="de-DE"/>
        </w:rPr>
        <w:br/>
      </w:r>
      <w:r w:rsidRPr="00ED5906">
        <w:rPr>
          <w:rFonts w:asciiTheme="majorHAnsi" w:eastAsia="Arial" w:hAnsiTheme="majorHAnsi" w:cstheme="majorHAnsi"/>
          <w:lang w:val="de-DE"/>
        </w:rPr>
        <w:t xml:space="preserve">mueller@pressebuero-tschorn.de </w:t>
      </w:r>
      <w:r w:rsidR="006636B2" w:rsidRPr="00ED5906">
        <w:rPr>
          <w:rFonts w:asciiTheme="majorHAnsi" w:hAnsiTheme="majorHAnsi" w:cstheme="majorHAnsi"/>
          <w:b/>
          <w:sz w:val="24"/>
          <w:szCs w:val="24"/>
          <w:lang w:val="de-DE"/>
        </w:rPr>
        <w:t>_____________________________________________</w:t>
      </w:r>
      <w:r w:rsidR="007D0643" w:rsidRPr="00ED5906">
        <w:rPr>
          <w:rFonts w:asciiTheme="majorHAnsi" w:hAnsiTheme="majorHAnsi" w:cstheme="majorHAnsi"/>
          <w:b/>
          <w:sz w:val="24"/>
          <w:szCs w:val="24"/>
          <w:lang w:val="de-DE"/>
        </w:rPr>
        <w:t>_______________</w:t>
      </w:r>
    </w:p>
    <w:p w14:paraId="1C8E47DC" w14:textId="77777777" w:rsidR="0030001D" w:rsidRDefault="0030001D" w:rsidP="007D0643">
      <w:pPr>
        <w:spacing w:after="0"/>
        <w:rPr>
          <w:rFonts w:asciiTheme="majorHAnsi" w:hAnsiTheme="majorHAnsi" w:cstheme="majorHAnsi"/>
          <w:b/>
          <w:sz w:val="24"/>
          <w:szCs w:val="24"/>
          <w:lang w:val="de-DE"/>
        </w:rPr>
      </w:pPr>
    </w:p>
    <w:p w14:paraId="5060C0FB" w14:textId="77777777" w:rsidR="00EC31C3" w:rsidRPr="00813415" w:rsidRDefault="00EC31C3" w:rsidP="007D0643">
      <w:pPr>
        <w:spacing w:after="0"/>
        <w:rPr>
          <w:rFonts w:asciiTheme="majorHAnsi" w:hAnsiTheme="majorHAnsi" w:cstheme="majorHAnsi"/>
          <w:b/>
          <w:sz w:val="24"/>
          <w:szCs w:val="24"/>
          <w:lang w:val="de-DE"/>
        </w:rPr>
      </w:pPr>
    </w:p>
    <w:p w14:paraId="5DC372D1" w14:textId="538C680E" w:rsidR="005D1BA2" w:rsidRPr="00942B7F" w:rsidRDefault="005D1BA2" w:rsidP="005D1BA2">
      <w:pPr>
        <w:spacing w:after="0" w:line="360" w:lineRule="auto"/>
        <w:rPr>
          <w:rFonts w:asciiTheme="majorHAnsi" w:hAnsiTheme="majorHAnsi" w:cstheme="majorHAnsi"/>
          <w:sz w:val="32"/>
          <w:szCs w:val="32"/>
          <w:lang w:val="de-DE"/>
        </w:rPr>
      </w:pPr>
      <w:r w:rsidRPr="00942B7F">
        <w:rPr>
          <w:rFonts w:asciiTheme="majorHAnsi" w:hAnsiTheme="majorHAnsi" w:cstheme="majorHAnsi"/>
          <w:sz w:val="32"/>
          <w:szCs w:val="32"/>
          <w:lang w:val="de-DE"/>
        </w:rPr>
        <w:t xml:space="preserve">Vanguard Motor- und </w:t>
      </w:r>
      <w:r w:rsidR="00C811B5">
        <w:rPr>
          <w:rFonts w:asciiTheme="majorHAnsi" w:hAnsiTheme="majorHAnsi" w:cstheme="majorHAnsi"/>
          <w:sz w:val="32"/>
          <w:szCs w:val="32"/>
          <w:lang w:val="de-DE"/>
        </w:rPr>
        <w:t>Akku-I</w:t>
      </w:r>
      <w:r w:rsidRPr="00942B7F">
        <w:rPr>
          <w:rFonts w:asciiTheme="majorHAnsi" w:hAnsiTheme="majorHAnsi" w:cstheme="majorHAnsi"/>
          <w:sz w:val="32"/>
          <w:szCs w:val="32"/>
          <w:lang w:val="de-DE"/>
        </w:rPr>
        <w:t>nnovationen</w:t>
      </w:r>
    </w:p>
    <w:p w14:paraId="096A24ED" w14:textId="0E493EF5" w:rsidR="005D1BA2" w:rsidRPr="00942B7F" w:rsidRDefault="005D1BA2" w:rsidP="005D1BA2">
      <w:pPr>
        <w:spacing w:after="0" w:line="360" w:lineRule="auto"/>
        <w:rPr>
          <w:rFonts w:asciiTheme="majorHAnsi" w:hAnsiTheme="majorHAnsi" w:cstheme="majorHAnsi"/>
          <w:i/>
          <w:iCs/>
          <w:lang w:val="de-DE"/>
        </w:rPr>
      </w:pPr>
      <w:r w:rsidRPr="00942B7F">
        <w:rPr>
          <w:rFonts w:asciiTheme="majorHAnsi" w:hAnsiTheme="majorHAnsi" w:cstheme="majorHAnsi"/>
          <w:i/>
          <w:iCs/>
          <w:lang w:val="de-DE"/>
        </w:rPr>
        <w:t xml:space="preserve">Briggs &amp; Stratton – mit Leidenschaft für Leistung zur </w:t>
      </w:r>
      <w:proofErr w:type="spellStart"/>
      <w:r w:rsidRPr="00942B7F">
        <w:rPr>
          <w:rFonts w:asciiTheme="majorHAnsi" w:hAnsiTheme="majorHAnsi" w:cstheme="majorHAnsi"/>
          <w:i/>
          <w:iCs/>
          <w:lang w:val="de-DE"/>
        </w:rPr>
        <w:t>bauma</w:t>
      </w:r>
      <w:proofErr w:type="spellEnd"/>
      <w:r w:rsidRPr="00942B7F">
        <w:rPr>
          <w:rFonts w:asciiTheme="majorHAnsi" w:hAnsiTheme="majorHAnsi" w:cstheme="majorHAnsi"/>
          <w:i/>
          <w:iCs/>
          <w:lang w:val="de-DE"/>
        </w:rPr>
        <w:t xml:space="preserve"> 2025</w:t>
      </w:r>
    </w:p>
    <w:p w14:paraId="2404B97E" w14:textId="77777777" w:rsidR="00942B7F" w:rsidRDefault="00942B7F" w:rsidP="005D1BA2">
      <w:pPr>
        <w:spacing w:after="0" w:line="360" w:lineRule="auto"/>
        <w:rPr>
          <w:rFonts w:asciiTheme="majorHAnsi" w:hAnsiTheme="majorHAnsi" w:cstheme="majorHAnsi"/>
          <w:lang w:val="de-DE"/>
        </w:rPr>
      </w:pPr>
    </w:p>
    <w:p w14:paraId="2C561FF5" w14:textId="76C91CB8" w:rsidR="00942B7F" w:rsidRDefault="00942B7F" w:rsidP="00942B7F">
      <w:pPr>
        <w:spacing w:after="0" w:line="360" w:lineRule="auto"/>
        <w:rPr>
          <w:rFonts w:asciiTheme="majorHAnsi" w:hAnsiTheme="majorHAnsi" w:cstheme="majorHAnsi"/>
          <w:lang w:val="de-DE"/>
        </w:rPr>
      </w:pPr>
      <w:r>
        <w:rPr>
          <w:rFonts w:asciiTheme="majorHAnsi" w:hAnsiTheme="majorHAnsi" w:cstheme="majorHAnsi"/>
          <w:b/>
          <w:bCs/>
          <w:lang w:val="de-DE"/>
        </w:rPr>
        <w:t>Viernheim</w:t>
      </w:r>
      <w:r w:rsidRPr="00942B7F">
        <w:rPr>
          <w:rFonts w:asciiTheme="majorHAnsi" w:hAnsiTheme="majorHAnsi" w:cstheme="majorHAnsi"/>
          <w:b/>
          <w:bCs/>
          <w:lang w:val="de-DE"/>
        </w:rPr>
        <w:t xml:space="preserve">, </w:t>
      </w:r>
      <w:r>
        <w:rPr>
          <w:rFonts w:asciiTheme="majorHAnsi" w:hAnsiTheme="majorHAnsi" w:cstheme="majorHAnsi"/>
          <w:b/>
          <w:bCs/>
          <w:lang w:val="de-DE"/>
        </w:rPr>
        <w:t xml:space="preserve">April </w:t>
      </w:r>
      <w:r w:rsidRPr="00942B7F">
        <w:rPr>
          <w:rFonts w:asciiTheme="majorHAnsi" w:hAnsiTheme="majorHAnsi" w:cstheme="majorHAnsi"/>
          <w:b/>
          <w:bCs/>
          <w:lang w:val="de-DE"/>
        </w:rPr>
        <w:t>2025:</w:t>
      </w:r>
      <w:r w:rsidRPr="00942B7F">
        <w:rPr>
          <w:rFonts w:asciiTheme="majorHAnsi" w:hAnsiTheme="majorHAnsi" w:cstheme="majorHAnsi"/>
          <w:lang w:val="de-DE"/>
        </w:rPr>
        <w:t xml:space="preserve"> Briggs &amp; Stratton </w:t>
      </w:r>
      <w:r>
        <w:rPr>
          <w:rFonts w:asciiTheme="majorHAnsi" w:hAnsiTheme="majorHAnsi" w:cstheme="majorHAnsi"/>
          <w:lang w:val="de-DE"/>
        </w:rPr>
        <w:t>präsentiert</w:t>
      </w:r>
      <w:r w:rsidRPr="00942B7F">
        <w:rPr>
          <w:rFonts w:asciiTheme="majorHAnsi" w:hAnsiTheme="majorHAnsi" w:cstheme="majorHAnsi"/>
          <w:lang w:val="de-DE"/>
        </w:rPr>
        <w:t xml:space="preserve"> auf der </w:t>
      </w:r>
      <w:proofErr w:type="spellStart"/>
      <w:r w:rsidRPr="00942B7F">
        <w:rPr>
          <w:rFonts w:asciiTheme="majorHAnsi" w:hAnsiTheme="majorHAnsi" w:cstheme="majorHAnsi"/>
          <w:lang w:val="de-DE"/>
        </w:rPr>
        <w:t>bauma</w:t>
      </w:r>
      <w:proofErr w:type="spellEnd"/>
      <w:r w:rsidRPr="00942B7F">
        <w:rPr>
          <w:rFonts w:asciiTheme="majorHAnsi" w:hAnsiTheme="majorHAnsi" w:cstheme="majorHAnsi"/>
          <w:lang w:val="de-DE"/>
        </w:rPr>
        <w:t xml:space="preserve"> 2025 seine hochmodernen Vanguard-Motor- und </w:t>
      </w:r>
      <w:r w:rsidR="00C811B5">
        <w:rPr>
          <w:rFonts w:asciiTheme="majorHAnsi" w:hAnsiTheme="majorHAnsi" w:cstheme="majorHAnsi"/>
          <w:lang w:val="de-DE"/>
        </w:rPr>
        <w:t>Akkul</w:t>
      </w:r>
      <w:r w:rsidRPr="00942B7F">
        <w:rPr>
          <w:rFonts w:asciiTheme="majorHAnsi" w:hAnsiTheme="majorHAnsi" w:cstheme="majorHAnsi"/>
          <w:lang w:val="de-DE"/>
        </w:rPr>
        <w:t xml:space="preserve">ösungen, die </w:t>
      </w:r>
      <w:r>
        <w:rPr>
          <w:rFonts w:asciiTheme="majorHAnsi" w:hAnsiTheme="majorHAnsi" w:cstheme="majorHAnsi"/>
          <w:lang w:val="de-DE"/>
        </w:rPr>
        <w:t>den</w:t>
      </w:r>
      <w:r w:rsidRPr="00942B7F">
        <w:rPr>
          <w:rFonts w:asciiTheme="majorHAnsi" w:hAnsiTheme="majorHAnsi" w:cstheme="majorHAnsi"/>
          <w:lang w:val="de-DE"/>
        </w:rPr>
        <w:t xml:space="preserve"> anspruchsvollsten Bauanwendungen </w:t>
      </w:r>
      <w:r>
        <w:rPr>
          <w:rFonts w:asciiTheme="majorHAnsi" w:hAnsiTheme="majorHAnsi" w:cstheme="majorHAnsi"/>
          <w:lang w:val="de-DE"/>
        </w:rPr>
        <w:t>gerecht werden</w:t>
      </w:r>
      <w:r w:rsidRPr="00942B7F">
        <w:rPr>
          <w:rFonts w:asciiTheme="majorHAnsi" w:hAnsiTheme="majorHAnsi" w:cstheme="majorHAnsi"/>
          <w:lang w:val="de-DE"/>
        </w:rPr>
        <w:t>.</w:t>
      </w:r>
      <w:r>
        <w:rPr>
          <w:rFonts w:asciiTheme="majorHAnsi" w:hAnsiTheme="majorHAnsi" w:cstheme="majorHAnsi"/>
          <w:lang w:val="de-DE"/>
        </w:rPr>
        <w:t xml:space="preserve"> </w:t>
      </w:r>
      <w:r w:rsidRPr="00942B7F">
        <w:rPr>
          <w:rFonts w:asciiTheme="majorHAnsi" w:hAnsiTheme="majorHAnsi" w:cstheme="majorHAnsi"/>
          <w:lang w:val="de-DE"/>
        </w:rPr>
        <w:t xml:space="preserve">Mit einem klaren Fokus auf Innovation, Zuverlässigkeit und Effizienz </w:t>
      </w:r>
      <w:r>
        <w:rPr>
          <w:rFonts w:asciiTheme="majorHAnsi" w:hAnsiTheme="majorHAnsi" w:cstheme="majorHAnsi"/>
          <w:lang w:val="de-DE"/>
        </w:rPr>
        <w:t>setzt</w:t>
      </w:r>
      <w:r w:rsidRPr="00942B7F">
        <w:rPr>
          <w:rFonts w:asciiTheme="majorHAnsi" w:hAnsiTheme="majorHAnsi" w:cstheme="majorHAnsi"/>
          <w:lang w:val="de-DE"/>
        </w:rPr>
        <w:t xml:space="preserve"> Vanguard </w:t>
      </w:r>
      <w:r>
        <w:rPr>
          <w:rFonts w:asciiTheme="majorHAnsi" w:hAnsiTheme="majorHAnsi" w:cstheme="majorHAnsi"/>
          <w:lang w:val="de-DE"/>
        </w:rPr>
        <w:t xml:space="preserve">Maßstäbe sowohl bei Lösungen mit Verbrennungsmotor als auch bei </w:t>
      </w:r>
      <w:r w:rsidR="00243A3F">
        <w:rPr>
          <w:rFonts w:asciiTheme="majorHAnsi" w:hAnsiTheme="majorHAnsi" w:cstheme="majorHAnsi"/>
          <w:lang w:val="de-DE"/>
        </w:rPr>
        <w:t>d</w:t>
      </w:r>
      <w:r>
        <w:rPr>
          <w:rFonts w:asciiTheme="majorHAnsi" w:hAnsiTheme="majorHAnsi" w:cstheme="majorHAnsi"/>
          <w:lang w:val="de-DE"/>
        </w:rPr>
        <w:t xml:space="preserve">er </w:t>
      </w:r>
      <w:r w:rsidRPr="00942B7F">
        <w:rPr>
          <w:rFonts w:asciiTheme="majorHAnsi" w:hAnsiTheme="majorHAnsi" w:cstheme="majorHAnsi"/>
          <w:lang w:val="de-DE"/>
        </w:rPr>
        <w:t xml:space="preserve">Elektrifizierung. Dank intelligenter, branchenführender Technologien bietet Vanguard </w:t>
      </w:r>
      <w:r>
        <w:rPr>
          <w:rFonts w:asciiTheme="majorHAnsi" w:hAnsiTheme="majorHAnsi" w:cstheme="majorHAnsi"/>
          <w:lang w:val="de-DE"/>
        </w:rPr>
        <w:t>anpassbare</w:t>
      </w:r>
      <w:r w:rsidRPr="00942B7F">
        <w:rPr>
          <w:rFonts w:asciiTheme="majorHAnsi" w:hAnsiTheme="majorHAnsi" w:cstheme="majorHAnsi"/>
          <w:lang w:val="de-DE"/>
        </w:rPr>
        <w:t xml:space="preserve"> Lösungen, die den sich wandelnden Anforderungen der Branche gerecht werden</w:t>
      </w:r>
      <w:r>
        <w:rPr>
          <w:rFonts w:asciiTheme="majorHAnsi" w:hAnsiTheme="majorHAnsi" w:cstheme="majorHAnsi"/>
          <w:lang w:val="de-DE"/>
        </w:rPr>
        <w:t xml:space="preserve">. </w:t>
      </w:r>
      <w:r w:rsidR="007C2596">
        <w:rPr>
          <w:rFonts w:asciiTheme="majorHAnsi" w:hAnsiTheme="majorHAnsi" w:cstheme="majorHAnsi"/>
          <w:lang w:val="de-DE"/>
        </w:rPr>
        <w:t xml:space="preserve">Besonders im Fokus steht dabei </w:t>
      </w:r>
      <w:r w:rsidRPr="00942B7F">
        <w:rPr>
          <w:rFonts w:asciiTheme="majorHAnsi" w:hAnsiTheme="majorHAnsi" w:cstheme="majorHAnsi"/>
          <w:lang w:val="de-DE"/>
        </w:rPr>
        <w:t>eine Senkung der Gesamtbetriebskosten (TCO).</w:t>
      </w:r>
    </w:p>
    <w:p w14:paraId="70177374" w14:textId="77777777" w:rsidR="00C811B5" w:rsidRPr="00942B7F" w:rsidRDefault="00C811B5" w:rsidP="00942B7F">
      <w:pPr>
        <w:spacing w:after="0" w:line="360" w:lineRule="auto"/>
        <w:rPr>
          <w:rFonts w:asciiTheme="majorHAnsi" w:hAnsiTheme="majorHAnsi" w:cstheme="majorHAnsi"/>
          <w:lang w:val="de-DE"/>
        </w:rPr>
      </w:pPr>
    </w:p>
    <w:p w14:paraId="5DA2708B" w14:textId="715DC7D5" w:rsidR="00942B7F" w:rsidRDefault="00942B7F" w:rsidP="00942B7F">
      <w:pPr>
        <w:spacing w:after="0" w:line="360" w:lineRule="auto"/>
        <w:rPr>
          <w:rFonts w:asciiTheme="majorHAnsi" w:hAnsiTheme="majorHAnsi" w:cstheme="majorHAnsi"/>
          <w:lang w:val="de-DE"/>
        </w:rPr>
      </w:pPr>
      <w:r w:rsidRPr="00942B7F">
        <w:rPr>
          <w:rFonts w:asciiTheme="majorHAnsi" w:hAnsiTheme="majorHAnsi" w:cstheme="majorHAnsi"/>
          <w:lang w:val="de-DE"/>
        </w:rPr>
        <w:t>Besucher von Stand 349 in Halle A2 haben die Möglichkeit, eine Vielzahl von Vanguard-Antriebslösungen zu entdecken, darunter langlebige Einzylinder-Motoren, leistungsstarke BIG BLOCK</w:t>
      </w:r>
      <w:r w:rsidR="000406E3">
        <w:rPr>
          <w:rFonts w:asciiTheme="majorHAnsi" w:hAnsiTheme="majorHAnsi" w:cstheme="majorHAnsi"/>
          <w:lang w:val="de-DE"/>
        </w:rPr>
        <w:t>-</w:t>
      </w:r>
      <w:r w:rsidRPr="00942B7F">
        <w:rPr>
          <w:rFonts w:asciiTheme="majorHAnsi" w:hAnsiTheme="majorHAnsi" w:cstheme="majorHAnsi"/>
          <w:lang w:val="de-DE"/>
        </w:rPr>
        <w:t>Benzin</w:t>
      </w:r>
      <w:r w:rsidR="000406E3">
        <w:rPr>
          <w:rFonts w:asciiTheme="majorHAnsi" w:hAnsiTheme="majorHAnsi" w:cstheme="majorHAnsi"/>
          <w:lang w:val="de-DE"/>
        </w:rPr>
        <w:t>motoren als A</w:t>
      </w:r>
      <w:r w:rsidRPr="00942B7F">
        <w:rPr>
          <w:rFonts w:asciiTheme="majorHAnsi" w:hAnsiTheme="majorHAnsi" w:cstheme="majorHAnsi"/>
          <w:lang w:val="de-DE"/>
        </w:rPr>
        <w:t xml:space="preserve">lternative zu Dieselmotoren sowie </w:t>
      </w:r>
      <w:r w:rsidR="000406E3">
        <w:rPr>
          <w:rFonts w:asciiTheme="majorHAnsi" w:hAnsiTheme="majorHAnsi" w:cstheme="majorHAnsi"/>
          <w:lang w:val="de-DE"/>
        </w:rPr>
        <w:t>innovative</w:t>
      </w:r>
      <w:r w:rsidRPr="00942B7F">
        <w:rPr>
          <w:rFonts w:asciiTheme="majorHAnsi" w:hAnsiTheme="majorHAnsi" w:cstheme="majorHAnsi"/>
          <w:lang w:val="de-DE"/>
        </w:rPr>
        <w:t xml:space="preserve"> Lithium-Ionen-</w:t>
      </w:r>
      <w:r w:rsidR="000406E3">
        <w:rPr>
          <w:rFonts w:asciiTheme="majorHAnsi" w:hAnsiTheme="majorHAnsi" w:cstheme="majorHAnsi"/>
          <w:lang w:val="de-DE"/>
        </w:rPr>
        <w:t>Akkut</w:t>
      </w:r>
      <w:r w:rsidRPr="00942B7F">
        <w:rPr>
          <w:rFonts w:asciiTheme="majorHAnsi" w:hAnsiTheme="majorHAnsi" w:cstheme="majorHAnsi"/>
          <w:lang w:val="de-DE"/>
        </w:rPr>
        <w:t>echnologie.</w:t>
      </w:r>
      <w:r w:rsidR="000406E3">
        <w:rPr>
          <w:rFonts w:asciiTheme="majorHAnsi" w:hAnsiTheme="majorHAnsi" w:cstheme="majorHAnsi"/>
          <w:lang w:val="de-DE"/>
        </w:rPr>
        <w:t xml:space="preserve"> </w:t>
      </w:r>
      <w:r w:rsidRPr="00942B7F">
        <w:rPr>
          <w:rFonts w:asciiTheme="majorHAnsi" w:hAnsiTheme="majorHAnsi" w:cstheme="majorHAnsi"/>
          <w:lang w:val="de-DE"/>
        </w:rPr>
        <w:t xml:space="preserve">Darüber hinaus werden verschiedene Anwendungen für die Bauindustrie präsentiert, die den einzigartigen, technologieoffenen Ansatz der Marke </w:t>
      </w:r>
      <w:r w:rsidR="000406E3">
        <w:rPr>
          <w:rFonts w:asciiTheme="majorHAnsi" w:hAnsiTheme="majorHAnsi" w:cstheme="majorHAnsi"/>
          <w:lang w:val="de-DE"/>
        </w:rPr>
        <w:t>deutlich machen</w:t>
      </w:r>
      <w:r w:rsidRPr="00942B7F">
        <w:rPr>
          <w:rFonts w:asciiTheme="majorHAnsi" w:hAnsiTheme="majorHAnsi" w:cstheme="majorHAnsi"/>
          <w:lang w:val="de-DE"/>
        </w:rPr>
        <w:t>. Dieser Ansatz gibt Kunden die Freiheit, die passende Energiequelle für ihre spezifischen Anforderungen zu wählen.</w:t>
      </w:r>
    </w:p>
    <w:p w14:paraId="777D7940" w14:textId="77777777" w:rsidR="000406E3" w:rsidRPr="00942B7F" w:rsidRDefault="000406E3" w:rsidP="00942B7F">
      <w:pPr>
        <w:spacing w:after="0" w:line="360" w:lineRule="auto"/>
        <w:rPr>
          <w:rFonts w:asciiTheme="majorHAnsi" w:hAnsiTheme="majorHAnsi" w:cstheme="majorHAnsi"/>
          <w:lang w:val="de-DE"/>
        </w:rPr>
      </w:pPr>
    </w:p>
    <w:p w14:paraId="3BC471F8" w14:textId="77777777" w:rsidR="00942B7F" w:rsidRPr="00942B7F" w:rsidRDefault="00942B7F" w:rsidP="00942B7F">
      <w:pPr>
        <w:spacing w:after="0" w:line="360" w:lineRule="auto"/>
        <w:rPr>
          <w:rFonts w:asciiTheme="majorHAnsi" w:hAnsiTheme="majorHAnsi" w:cstheme="majorHAnsi"/>
          <w:b/>
          <w:bCs/>
          <w:lang w:val="de-DE"/>
        </w:rPr>
      </w:pPr>
      <w:r w:rsidRPr="00942B7F">
        <w:rPr>
          <w:rFonts w:asciiTheme="majorHAnsi" w:hAnsiTheme="majorHAnsi" w:cstheme="majorHAnsi"/>
          <w:b/>
          <w:bCs/>
          <w:lang w:val="de-DE"/>
        </w:rPr>
        <w:t>Maximale Leistung: Einzylinder- und BIG BLOCK-Motoren</w:t>
      </w:r>
    </w:p>
    <w:p w14:paraId="13B2587C" w14:textId="6C6202CE" w:rsidR="00942B7F" w:rsidRDefault="00942B7F" w:rsidP="00942B7F">
      <w:pPr>
        <w:spacing w:after="0" w:line="360" w:lineRule="auto"/>
        <w:rPr>
          <w:rFonts w:asciiTheme="majorHAnsi" w:hAnsiTheme="majorHAnsi" w:cstheme="majorHAnsi"/>
          <w:lang w:val="de-DE"/>
        </w:rPr>
      </w:pPr>
      <w:r w:rsidRPr="00942B7F">
        <w:rPr>
          <w:rFonts w:asciiTheme="majorHAnsi" w:hAnsiTheme="majorHAnsi" w:cstheme="majorHAnsi"/>
          <w:lang w:val="de-DE"/>
        </w:rPr>
        <w:t>Vanguard-Einzylinder-Industrie-Motoren mit horizontaler Welle stehen für außergewöhnliche Leistung, Zuverlässigkeit und geringen Wartungsaufwand, selbst unter extremen Einsatzbedingungen. Auf der Messe werden unter anderem die Modelle Vanguard 160, 200, 300 und 400 EFI/ETC ausgestellt, die als Plug-and-Play-Lösungen für anspruchsvolle Bauanwendungen konzipiert sind.</w:t>
      </w:r>
      <w:r w:rsidR="00EC31C3">
        <w:rPr>
          <w:rFonts w:asciiTheme="majorHAnsi" w:hAnsiTheme="majorHAnsi" w:cstheme="majorHAnsi"/>
          <w:lang w:val="de-DE"/>
        </w:rPr>
        <w:t xml:space="preserve"> </w:t>
      </w:r>
      <w:r w:rsidRPr="00942B7F">
        <w:rPr>
          <w:rFonts w:asciiTheme="majorHAnsi" w:hAnsiTheme="majorHAnsi" w:cstheme="majorHAnsi"/>
          <w:lang w:val="de-DE"/>
        </w:rPr>
        <w:t>Mit branchenführend</w:t>
      </w:r>
      <w:r w:rsidR="00EC31C3">
        <w:rPr>
          <w:rFonts w:asciiTheme="majorHAnsi" w:hAnsiTheme="majorHAnsi" w:cstheme="majorHAnsi"/>
          <w:lang w:val="de-DE"/>
        </w:rPr>
        <w:t xml:space="preserve"> langen</w:t>
      </w:r>
      <w:r w:rsidRPr="00942B7F">
        <w:rPr>
          <w:rFonts w:asciiTheme="majorHAnsi" w:hAnsiTheme="majorHAnsi" w:cstheme="majorHAnsi"/>
          <w:lang w:val="de-DE"/>
        </w:rPr>
        <w:t xml:space="preserve"> Wartungsintervallen (</w:t>
      </w:r>
      <w:r w:rsidR="00EC31C3">
        <w:rPr>
          <w:rFonts w:asciiTheme="majorHAnsi" w:hAnsiTheme="majorHAnsi" w:cstheme="majorHAnsi"/>
          <w:lang w:val="de-DE"/>
        </w:rPr>
        <w:t xml:space="preserve">Ölwechsel nach </w:t>
      </w:r>
      <w:r w:rsidRPr="00942B7F">
        <w:rPr>
          <w:rFonts w:asciiTheme="majorHAnsi" w:hAnsiTheme="majorHAnsi" w:cstheme="majorHAnsi"/>
          <w:lang w:val="de-DE"/>
        </w:rPr>
        <w:t>200</w:t>
      </w:r>
      <w:r w:rsidR="00EC31C3">
        <w:rPr>
          <w:rFonts w:asciiTheme="majorHAnsi" w:hAnsiTheme="majorHAnsi" w:cstheme="majorHAnsi"/>
          <w:lang w:val="de-DE"/>
        </w:rPr>
        <w:t xml:space="preserve"> </w:t>
      </w:r>
      <w:r w:rsidRPr="00942B7F">
        <w:rPr>
          <w:rFonts w:asciiTheme="majorHAnsi" w:hAnsiTheme="majorHAnsi" w:cstheme="majorHAnsi"/>
          <w:lang w:val="de-DE"/>
        </w:rPr>
        <w:t>Stunden und Luftfilter</w:t>
      </w:r>
      <w:r w:rsidR="00EC31C3">
        <w:rPr>
          <w:rFonts w:asciiTheme="majorHAnsi" w:hAnsiTheme="majorHAnsi" w:cstheme="majorHAnsi"/>
          <w:lang w:val="de-DE"/>
        </w:rPr>
        <w:t>service nach 600 Stunden</w:t>
      </w:r>
      <w:r w:rsidRPr="00942B7F">
        <w:rPr>
          <w:rFonts w:asciiTheme="majorHAnsi" w:hAnsiTheme="majorHAnsi" w:cstheme="majorHAnsi"/>
          <w:lang w:val="de-DE"/>
        </w:rPr>
        <w:t xml:space="preserve">) tragen diese Motoren dazu bei, </w:t>
      </w:r>
      <w:r w:rsidR="00EC31C3">
        <w:rPr>
          <w:rFonts w:asciiTheme="majorHAnsi" w:hAnsiTheme="majorHAnsi" w:cstheme="majorHAnsi"/>
          <w:lang w:val="de-DE"/>
        </w:rPr>
        <w:t>Stillstandsz</w:t>
      </w:r>
      <w:r w:rsidRPr="00942B7F">
        <w:rPr>
          <w:rFonts w:asciiTheme="majorHAnsi" w:hAnsiTheme="majorHAnsi" w:cstheme="majorHAnsi"/>
          <w:lang w:val="de-DE"/>
        </w:rPr>
        <w:t>eiten zu minimieren und die Gesamtbetriebskosten erheblich zu senken.</w:t>
      </w:r>
      <w:r w:rsidR="00EC31C3">
        <w:rPr>
          <w:rFonts w:asciiTheme="majorHAnsi" w:hAnsiTheme="majorHAnsi" w:cstheme="majorHAnsi"/>
          <w:lang w:val="de-DE"/>
        </w:rPr>
        <w:t xml:space="preserve"> </w:t>
      </w:r>
      <w:r w:rsidRPr="00942B7F">
        <w:rPr>
          <w:rFonts w:asciiTheme="majorHAnsi" w:hAnsiTheme="majorHAnsi" w:cstheme="majorHAnsi"/>
          <w:lang w:val="de-DE"/>
        </w:rPr>
        <w:t xml:space="preserve">Technologien wie </w:t>
      </w:r>
      <w:proofErr w:type="spellStart"/>
      <w:r w:rsidRPr="00942B7F">
        <w:rPr>
          <w:rFonts w:asciiTheme="majorHAnsi" w:hAnsiTheme="majorHAnsi" w:cstheme="majorHAnsi"/>
          <w:lang w:val="de-DE"/>
        </w:rPr>
        <w:t>TransportGuard</w:t>
      </w:r>
      <w:proofErr w:type="spellEnd"/>
      <w:r w:rsidRPr="00942B7F">
        <w:rPr>
          <w:rFonts w:asciiTheme="majorHAnsi" w:hAnsiTheme="majorHAnsi" w:cstheme="majorHAnsi"/>
          <w:lang w:val="de-DE"/>
        </w:rPr>
        <w:t xml:space="preserve"> steigern den ROI </w:t>
      </w:r>
      <w:r w:rsidR="00C811B5">
        <w:rPr>
          <w:rFonts w:asciiTheme="majorHAnsi" w:hAnsiTheme="majorHAnsi" w:cstheme="majorHAnsi"/>
          <w:lang w:val="de-DE"/>
        </w:rPr>
        <w:t>zusätzlich</w:t>
      </w:r>
      <w:r w:rsidRPr="00942B7F">
        <w:rPr>
          <w:rFonts w:asciiTheme="majorHAnsi" w:hAnsiTheme="majorHAnsi" w:cstheme="majorHAnsi"/>
          <w:lang w:val="de-DE"/>
        </w:rPr>
        <w:t xml:space="preserve">, indem sie unnötige und teure Ölwechsel reduzieren und Vanguard zu einer </w:t>
      </w:r>
      <w:r w:rsidR="00C811B5">
        <w:rPr>
          <w:rFonts w:asciiTheme="majorHAnsi" w:hAnsiTheme="majorHAnsi" w:cstheme="majorHAnsi"/>
          <w:lang w:val="de-DE"/>
        </w:rPr>
        <w:t xml:space="preserve">zuverlässigen </w:t>
      </w:r>
      <w:r w:rsidRPr="00942B7F">
        <w:rPr>
          <w:rFonts w:asciiTheme="majorHAnsi" w:hAnsiTheme="majorHAnsi" w:cstheme="majorHAnsi"/>
          <w:lang w:val="de-DE"/>
        </w:rPr>
        <w:t>Investition für langfristige Effizienz machen.</w:t>
      </w:r>
    </w:p>
    <w:p w14:paraId="5298A913" w14:textId="77777777" w:rsidR="00EC31C3" w:rsidRPr="00942B7F" w:rsidRDefault="00EC31C3" w:rsidP="00942B7F">
      <w:pPr>
        <w:spacing w:after="0" w:line="360" w:lineRule="auto"/>
        <w:rPr>
          <w:rFonts w:asciiTheme="majorHAnsi" w:hAnsiTheme="majorHAnsi" w:cstheme="majorHAnsi"/>
          <w:lang w:val="de-DE"/>
        </w:rPr>
      </w:pPr>
    </w:p>
    <w:p w14:paraId="62D15600" w14:textId="45311209" w:rsidR="00942B7F" w:rsidRDefault="00942B7F" w:rsidP="00942B7F">
      <w:pPr>
        <w:spacing w:after="0" w:line="360" w:lineRule="auto"/>
        <w:rPr>
          <w:rFonts w:asciiTheme="majorHAnsi" w:hAnsiTheme="majorHAnsi" w:cstheme="majorHAnsi"/>
          <w:lang w:val="de-DE"/>
        </w:rPr>
      </w:pPr>
      <w:r w:rsidRPr="00942B7F">
        <w:rPr>
          <w:rFonts w:asciiTheme="majorHAnsi" w:hAnsiTheme="majorHAnsi" w:cstheme="majorHAnsi"/>
          <w:lang w:val="de-DE"/>
        </w:rPr>
        <w:t>Ein weiteres Highlight ist der Vanguard BIG BLOCK EFI/ETC-Motor mit 29,9 kW/40 PS</w:t>
      </w:r>
      <w:r w:rsidR="00B831B2" w:rsidRPr="00B831B2">
        <w:rPr>
          <w:rFonts w:asciiTheme="majorHAnsi" w:hAnsiTheme="majorHAnsi" w:cstheme="majorHAnsi"/>
          <w:vertAlign w:val="superscript"/>
          <w:lang w:val="de-DE"/>
        </w:rPr>
        <w:t>(</w:t>
      </w:r>
      <w:r w:rsidR="00B831B2">
        <w:rPr>
          <w:rFonts w:asciiTheme="majorHAnsi" w:hAnsiTheme="majorHAnsi" w:cstheme="majorHAnsi"/>
          <w:vertAlign w:val="superscript"/>
          <w:lang w:val="de-DE"/>
        </w:rPr>
        <w:t>1</w:t>
      </w:r>
      <w:r w:rsidR="00B831B2" w:rsidRPr="00B831B2">
        <w:rPr>
          <w:rFonts w:asciiTheme="majorHAnsi" w:hAnsiTheme="majorHAnsi" w:cstheme="majorHAnsi"/>
          <w:vertAlign w:val="superscript"/>
          <w:lang w:val="de-DE"/>
        </w:rPr>
        <w:t>)</w:t>
      </w:r>
      <w:r w:rsidRPr="00942B7F">
        <w:rPr>
          <w:rFonts w:asciiTheme="majorHAnsi" w:hAnsiTheme="majorHAnsi" w:cstheme="majorHAnsi"/>
          <w:lang w:val="de-DE"/>
        </w:rPr>
        <w:t>. Da die Branche zunehmend Alternativen zu Dieselmotoren sucht, bietet die BIG BLOCK EFI/ETC-Reihe eine starke Lösung für Hochleistungsanwendungen.</w:t>
      </w:r>
      <w:r w:rsidR="001E37EC">
        <w:rPr>
          <w:rFonts w:asciiTheme="majorHAnsi" w:hAnsiTheme="majorHAnsi" w:cstheme="majorHAnsi"/>
          <w:lang w:val="de-DE"/>
        </w:rPr>
        <w:t xml:space="preserve"> </w:t>
      </w:r>
      <w:r w:rsidRPr="00942B7F">
        <w:rPr>
          <w:rFonts w:asciiTheme="majorHAnsi" w:hAnsiTheme="majorHAnsi" w:cstheme="majorHAnsi"/>
          <w:lang w:val="de-DE"/>
        </w:rPr>
        <w:t xml:space="preserve">Diese Motoren liefern die </w:t>
      </w:r>
      <w:r w:rsidR="001E37EC">
        <w:rPr>
          <w:rFonts w:asciiTheme="majorHAnsi" w:hAnsiTheme="majorHAnsi" w:cstheme="majorHAnsi"/>
          <w:lang w:val="de-DE"/>
        </w:rPr>
        <w:t>hohe</w:t>
      </w:r>
      <w:r w:rsidRPr="00942B7F">
        <w:rPr>
          <w:rFonts w:asciiTheme="majorHAnsi" w:hAnsiTheme="majorHAnsi" w:cstheme="majorHAnsi"/>
          <w:lang w:val="de-DE"/>
        </w:rPr>
        <w:t xml:space="preserve"> Leistung, die auf Baustellen benötigt wird und </w:t>
      </w:r>
      <w:r w:rsidR="001E37EC">
        <w:rPr>
          <w:rFonts w:asciiTheme="majorHAnsi" w:hAnsiTheme="majorHAnsi" w:cstheme="majorHAnsi"/>
          <w:lang w:val="de-DE"/>
        </w:rPr>
        <w:t>reduzieren</w:t>
      </w:r>
      <w:r w:rsidRPr="00942B7F">
        <w:rPr>
          <w:rFonts w:asciiTheme="majorHAnsi" w:hAnsiTheme="majorHAnsi" w:cstheme="majorHAnsi"/>
          <w:lang w:val="de-DE"/>
        </w:rPr>
        <w:t xml:space="preserve"> gleichzeitig den Kraftstoffverbrauch sowie die Wartungskosten. Die Electronic Fuel </w:t>
      </w:r>
      <w:proofErr w:type="spellStart"/>
      <w:r w:rsidRPr="00942B7F">
        <w:rPr>
          <w:rFonts w:asciiTheme="majorHAnsi" w:hAnsiTheme="majorHAnsi" w:cstheme="majorHAnsi"/>
          <w:lang w:val="de-DE"/>
        </w:rPr>
        <w:t>Injection</w:t>
      </w:r>
      <w:proofErr w:type="spellEnd"/>
      <w:r w:rsidRPr="00942B7F">
        <w:rPr>
          <w:rFonts w:asciiTheme="majorHAnsi" w:hAnsiTheme="majorHAnsi" w:cstheme="majorHAnsi"/>
          <w:lang w:val="de-DE"/>
        </w:rPr>
        <w:t xml:space="preserve">-Technologie </w:t>
      </w:r>
      <w:r w:rsidR="00C811B5" w:rsidRPr="00942B7F">
        <w:rPr>
          <w:rFonts w:asciiTheme="majorHAnsi" w:hAnsiTheme="majorHAnsi" w:cstheme="majorHAnsi"/>
          <w:lang w:val="de-DE"/>
        </w:rPr>
        <w:t>(EFI)</w:t>
      </w:r>
      <w:r w:rsidR="00C811B5">
        <w:rPr>
          <w:rFonts w:asciiTheme="majorHAnsi" w:hAnsiTheme="majorHAnsi" w:cstheme="majorHAnsi"/>
          <w:lang w:val="de-DE"/>
        </w:rPr>
        <w:t xml:space="preserve"> </w:t>
      </w:r>
      <w:r w:rsidRPr="00942B7F">
        <w:rPr>
          <w:rFonts w:asciiTheme="majorHAnsi" w:hAnsiTheme="majorHAnsi" w:cstheme="majorHAnsi"/>
          <w:lang w:val="de-DE"/>
        </w:rPr>
        <w:t xml:space="preserve">von Vanguard optimiert die Kraftstoffeffizienz und bietet Bauunternehmern eine </w:t>
      </w:r>
      <w:r w:rsidR="00C811B5">
        <w:rPr>
          <w:rFonts w:asciiTheme="majorHAnsi" w:hAnsiTheme="majorHAnsi" w:cstheme="majorHAnsi"/>
          <w:lang w:val="de-DE"/>
        </w:rPr>
        <w:t>effiziente</w:t>
      </w:r>
      <w:r w:rsidRPr="00942B7F">
        <w:rPr>
          <w:rFonts w:asciiTheme="majorHAnsi" w:hAnsiTheme="majorHAnsi" w:cstheme="majorHAnsi"/>
          <w:lang w:val="de-DE"/>
        </w:rPr>
        <w:t xml:space="preserve"> und umweltfreundliche Lösung, ohne Kompromisse bei der Leistung einzugehen.</w:t>
      </w:r>
    </w:p>
    <w:p w14:paraId="2FAB70E6" w14:textId="77777777" w:rsidR="00C811B5" w:rsidRPr="00942B7F" w:rsidRDefault="00C811B5" w:rsidP="00942B7F">
      <w:pPr>
        <w:spacing w:after="0" w:line="360" w:lineRule="auto"/>
        <w:rPr>
          <w:rFonts w:asciiTheme="majorHAnsi" w:hAnsiTheme="majorHAnsi" w:cstheme="majorHAnsi"/>
          <w:lang w:val="de-DE"/>
        </w:rPr>
      </w:pPr>
    </w:p>
    <w:p w14:paraId="30C30D55" w14:textId="0A4EA9BC" w:rsidR="00C811B5" w:rsidRDefault="00942B7F" w:rsidP="00942B7F">
      <w:pPr>
        <w:spacing w:after="0" w:line="360" w:lineRule="auto"/>
        <w:rPr>
          <w:rFonts w:asciiTheme="majorHAnsi" w:hAnsiTheme="majorHAnsi" w:cstheme="majorHAnsi"/>
          <w:b/>
          <w:bCs/>
          <w:lang w:val="de-DE"/>
        </w:rPr>
      </w:pPr>
      <w:r w:rsidRPr="00942B7F">
        <w:rPr>
          <w:rFonts w:asciiTheme="majorHAnsi" w:hAnsiTheme="majorHAnsi" w:cstheme="majorHAnsi"/>
          <w:b/>
          <w:bCs/>
          <w:lang w:val="de-DE"/>
        </w:rPr>
        <w:t xml:space="preserve">Vanguard </w:t>
      </w:r>
      <w:r w:rsidR="00C811B5">
        <w:rPr>
          <w:rFonts w:asciiTheme="majorHAnsi" w:hAnsiTheme="majorHAnsi" w:cstheme="majorHAnsi"/>
          <w:b/>
          <w:bCs/>
          <w:lang w:val="de-DE"/>
        </w:rPr>
        <w:t xml:space="preserve">Akkus </w:t>
      </w:r>
      <w:r w:rsidRPr="00942B7F">
        <w:rPr>
          <w:rFonts w:asciiTheme="majorHAnsi" w:hAnsiTheme="majorHAnsi" w:cstheme="majorHAnsi"/>
          <w:b/>
          <w:bCs/>
          <w:lang w:val="de-DE"/>
        </w:rPr>
        <w:t xml:space="preserve">und </w:t>
      </w:r>
      <w:r w:rsidR="00C811B5">
        <w:rPr>
          <w:rFonts w:asciiTheme="majorHAnsi" w:hAnsiTheme="majorHAnsi" w:cstheme="majorHAnsi"/>
          <w:b/>
          <w:bCs/>
          <w:lang w:val="de-DE"/>
        </w:rPr>
        <w:t>Akku-S</w:t>
      </w:r>
      <w:r w:rsidRPr="00942B7F">
        <w:rPr>
          <w:rFonts w:asciiTheme="majorHAnsi" w:hAnsiTheme="majorHAnsi" w:cstheme="majorHAnsi"/>
          <w:b/>
          <w:bCs/>
          <w:lang w:val="de-DE"/>
        </w:rPr>
        <w:t>ystem</w:t>
      </w:r>
      <w:r w:rsidR="00C811B5">
        <w:rPr>
          <w:rFonts w:asciiTheme="majorHAnsi" w:hAnsiTheme="majorHAnsi" w:cstheme="majorHAnsi"/>
          <w:b/>
          <w:bCs/>
          <w:lang w:val="de-DE"/>
        </w:rPr>
        <w:t>l</w:t>
      </w:r>
      <w:r w:rsidRPr="00942B7F">
        <w:rPr>
          <w:rFonts w:asciiTheme="majorHAnsi" w:hAnsiTheme="majorHAnsi" w:cstheme="majorHAnsi"/>
          <w:b/>
          <w:bCs/>
          <w:lang w:val="de-DE"/>
        </w:rPr>
        <w:t>ösungen</w:t>
      </w:r>
    </w:p>
    <w:p w14:paraId="23D445AF" w14:textId="33B07D24" w:rsidR="00942B7F" w:rsidRDefault="00C811B5" w:rsidP="00942B7F">
      <w:pPr>
        <w:spacing w:after="0" w:line="360" w:lineRule="auto"/>
        <w:rPr>
          <w:rFonts w:asciiTheme="majorHAnsi" w:hAnsiTheme="majorHAnsi" w:cstheme="majorHAnsi"/>
          <w:lang w:val="de-DE"/>
        </w:rPr>
      </w:pPr>
      <w:r>
        <w:rPr>
          <w:rFonts w:asciiTheme="majorHAnsi" w:hAnsiTheme="majorHAnsi" w:cstheme="majorHAnsi"/>
          <w:lang w:val="de-DE"/>
        </w:rPr>
        <w:t xml:space="preserve">Neben den Lösungen mit Verbrennungsmotoren stellt Vanguard seine innovative </w:t>
      </w:r>
      <w:r w:rsidR="00942B7F" w:rsidRPr="00942B7F">
        <w:rPr>
          <w:rFonts w:asciiTheme="majorHAnsi" w:hAnsiTheme="majorHAnsi" w:cstheme="majorHAnsi"/>
          <w:lang w:val="de-DE"/>
        </w:rPr>
        <w:t>Lithium-Ionen-</w:t>
      </w:r>
      <w:r>
        <w:rPr>
          <w:rFonts w:asciiTheme="majorHAnsi" w:hAnsiTheme="majorHAnsi" w:cstheme="majorHAnsi"/>
          <w:lang w:val="de-DE"/>
        </w:rPr>
        <w:t xml:space="preserve">Akkutechnologie vor, die </w:t>
      </w:r>
      <w:r w:rsidR="00942B7F" w:rsidRPr="00942B7F">
        <w:rPr>
          <w:rFonts w:asciiTheme="majorHAnsi" w:hAnsiTheme="majorHAnsi" w:cstheme="majorHAnsi"/>
          <w:lang w:val="de-DE"/>
        </w:rPr>
        <w:t>die für gewerbliche Anwendungen mit von 1,5 kWh bis 70 kWh entwickelt wurden. Mit einem robusten Aluminiumgehäuse, hohen IP-Schutzklassen und einem integrierten Batteriemanagementsystem (BMS) bieten diese Batterien eine lange Lebensdauer, Sicherheit und Effizienz, selbst in extremen Umgebungen.</w:t>
      </w:r>
    </w:p>
    <w:p w14:paraId="490E08FE" w14:textId="77777777" w:rsidR="00C811B5" w:rsidRPr="00942B7F" w:rsidRDefault="00C811B5" w:rsidP="00942B7F">
      <w:pPr>
        <w:spacing w:after="0" w:line="360" w:lineRule="auto"/>
        <w:rPr>
          <w:rFonts w:asciiTheme="majorHAnsi" w:hAnsiTheme="majorHAnsi" w:cstheme="majorHAnsi"/>
          <w:lang w:val="de-DE"/>
        </w:rPr>
      </w:pPr>
    </w:p>
    <w:p w14:paraId="21821A73" w14:textId="602EC6F4" w:rsidR="00942B7F" w:rsidRDefault="00235006" w:rsidP="00942B7F">
      <w:pPr>
        <w:spacing w:after="0" w:line="360" w:lineRule="auto"/>
        <w:rPr>
          <w:rFonts w:asciiTheme="majorHAnsi" w:hAnsiTheme="majorHAnsi" w:cstheme="majorHAnsi"/>
          <w:lang w:val="de-DE"/>
        </w:rPr>
      </w:pPr>
      <w:r>
        <w:rPr>
          <w:rFonts w:asciiTheme="majorHAnsi" w:hAnsiTheme="majorHAnsi" w:cstheme="majorHAnsi"/>
          <w:lang w:val="de-DE"/>
        </w:rPr>
        <w:lastRenderedPageBreak/>
        <w:t xml:space="preserve">Ebenso bei Vanguard </w:t>
      </w:r>
      <w:r w:rsidR="00C811B5">
        <w:rPr>
          <w:rFonts w:asciiTheme="majorHAnsi" w:hAnsiTheme="majorHAnsi" w:cstheme="majorHAnsi"/>
          <w:lang w:val="de-DE"/>
        </w:rPr>
        <w:t>zu sehen</w:t>
      </w:r>
      <w:r w:rsidR="00942B7F" w:rsidRPr="00942B7F">
        <w:rPr>
          <w:rFonts w:asciiTheme="majorHAnsi" w:hAnsiTheme="majorHAnsi" w:cstheme="majorHAnsi"/>
          <w:lang w:val="de-DE"/>
        </w:rPr>
        <w:t xml:space="preserve">: </w:t>
      </w:r>
      <w:r w:rsidR="00C811B5">
        <w:rPr>
          <w:rFonts w:asciiTheme="majorHAnsi" w:hAnsiTheme="majorHAnsi" w:cstheme="majorHAnsi"/>
          <w:lang w:val="de-DE"/>
        </w:rPr>
        <w:t>Akkupacks</w:t>
      </w:r>
      <w:r w:rsidR="00942B7F" w:rsidRPr="00942B7F">
        <w:rPr>
          <w:rFonts w:asciiTheme="majorHAnsi" w:hAnsiTheme="majorHAnsi" w:cstheme="majorHAnsi"/>
          <w:lang w:val="de-DE"/>
        </w:rPr>
        <w:t xml:space="preserve"> und Ladegeräte sowie </w:t>
      </w:r>
      <w:r w:rsidR="00C811B5">
        <w:rPr>
          <w:rFonts w:asciiTheme="majorHAnsi" w:hAnsiTheme="majorHAnsi" w:cstheme="majorHAnsi"/>
          <w:lang w:val="de-DE"/>
        </w:rPr>
        <w:t>demnächst verfügbare</w:t>
      </w:r>
      <w:r w:rsidR="00942B7F" w:rsidRPr="00942B7F">
        <w:rPr>
          <w:rFonts w:asciiTheme="majorHAnsi" w:hAnsiTheme="majorHAnsi" w:cstheme="majorHAnsi"/>
          <w:lang w:val="de-DE"/>
        </w:rPr>
        <w:t xml:space="preserve"> </w:t>
      </w:r>
      <w:r w:rsidR="00C811B5">
        <w:rPr>
          <w:rFonts w:asciiTheme="majorHAnsi" w:hAnsiTheme="majorHAnsi" w:cstheme="majorHAnsi"/>
          <w:lang w:val="de-DE"/>
        </w:rPr>
        <w:t>Antriebe</w:t>
      </w:r>
      <w:r w:rsidR="00942B7F" w:rsidRPr="00942B7F">
        <w:rPr>
          <w:rFonts w:asciiTheme="majorHAnsi" w:hAnsiTheme="majorHAnsi" w:cstheme="majorHAnsi"/>
          <w:lang w:val="de-DE"/>
        </w:rPr>
        <w:t xml:space="preserve"> und </w:t>
      </w:r>
      <w:r w:rsidR="00C811B5">
        <w:rPr>
          <w:rFonts w:asciiTheme="majorHAnsi" w:hAnsiTheme="majorHAnsi" w:cstheme="majorHAnsi"/>
          <w:lang w:val="de-DE"/>
        </w:rPr>
        <w:t>S</w:t>
      </w:r>
      <w:r w:rsidR="00942B7F" w:rsidRPr="00942B7F">
        <w:rPr>
          <w:rFonts w:asciiTheme="majorHAnsi" w:hAnsiTheme="majorHAnsi" w:cstheme="majorHAnsi"/>
          <w:lang w:val="de-DE"/>
        </w:rPr>
        <w:t>teuerungen, die OEM</w:t>
      </w:r>
      <w:r w:rsidR="00783F24">
        <w:rPr>
          <w:rFonts w:asciiTheme="majorHAnsi" w:hAnsiTheme="majorHAnsi" w:cstheme="majorHAnsi"/>
          <w:lang w:val="de-DE"/>
        </w:rPr>
        <w:t>-Partnern</w:t>
      </w:r>
      <w:r w:rsidR="00942B7F" w:rsidRPr="00942B7F">
        <w:rPr>
          <w:rFonts w:asciiTheme="majorHAnsi" w:hAnsiTheme="majorHAnsi" w:cstheme="majorHAnsi"/>
          <w:lang w:val="de-DE"/>
        </w:rPr>
        <w:t xml:space="preserve"> die Elektrifizierung erleichtern. </w:t>
      </w:r>
      <w:r w:rsidR="00783F24">
        <w:rPr>
          <w:rFonts w:asciiTheme="majorHAnsi" w:hAnsiTheme="majorHAnsi" w:cstheme="majorHAnsi"/>
          <w:lang w:val="de-DE"/>
        </w:rPr>
        <w:t>Das Vanguard-System</w:t>
      </w:r>
      <w:r w:rsidR="00942B7F" w:rsidRPr="00942B7F">
        <w:rPr>
          <w:rFonts w:asciiTheme="majorHAnsi" w:hAnsiTheme="majorHAnsi" w:cstheme="majorHAnsi"/>
          <w:lang w:val="de-DE"/>
        </w:rPr>
        <w:t xml:space="preserve"> gewährleistet ein nahtloses Zusammenspiel aller Komponenten, beschleunigt die Energiewende und vereinfacht die Elektrifizierung.</w:t>
      </w:r>
    </w:p>
    <w:p w14:paraId="0EE96DBD" w14:textId="77777777" w:rsidR="00783F24" w:rsidRPr="00942B7F" w:rsidRDefault="00783F24" w:rsidP="00942B7F">
      <w:pPr>
        <w:spacing w:after="0" w:line="360" w:lineRule="auto"/>
        <w:rPr>
          <w:rFonts w:asciiTheme="majorHAnsi" w:hAnsiTheme="majorHAnsi" w:cstheme="majorHAnsi"/>
          <w:lang w:val="de-DE"/>
        </w:rPr>
      </w:pPr>
    </w:p>
    <w:p w14:paraId="173D7962" w14:textId="206AC1DB" w:rsidR="00942B7F" w:rsidRDefault="00942B7F" w:rsidP="00942B7F">
      <w:pPr>
        <w:spacing w:after="0" w:line="360" w:lineRule="auto"/>
        <w:rPr>
          <w:rFonts w:asciiTheme="majorHAnsi" w:hAnsiTheme="majorHAnsi" w:cstheme="majorHAnsi"/>
          <w:lang w:val="de-DE"/>
        </w:rPr>
      </w:pPr>
      <w:r w:rsidRPr="00942B7F">
        <w:rPr>
          <w:rFonts w:asciiTheme="majorHAnsi" w:hAnsiTheme="majorHAnsi" w:cstheme="majorHAnsi"/>
          <w:lang w:val="de-DE"/>
        </w:rPr>
        <w:t xml:space="preserve">Darüber hinaus können Besucher innovative Produkte wie </w:t>
      </w:r>
      <w:r w:rsidR="00783F24">
        <w:rPr>
          <w:rFonts w:asciiTheme="majorHAnsi" w:hAnsiTheme="majorHAnsi" w:cstheme="majorHAnsi"/>
          <w:lang w:val="de-DE"/>
        </w:rPr>
        <w:t>den</w:t>
      </w:r>
      <w:r w:rsidRPr="00942B7F">
        <w:rPr>
          <w:rFonts w:asciiTheme="majorHAnsi" w:hAnsiTheme="majorHAnsi" w:cstheme="majorHAnsi"/>
          <w:lang w:val="de-DE"/>
        </w:rPr>
        <w:t xml:space="preserve"> Vanguard </w:t>
      </w:r>
      <w:r w:rsidR="00783F24">
        <w:rPr>
          <w:rFonts w:asciiTheme="majorHAnsi" w:hAnsiTheme="majorHAnsi" w:cstheme="majorHAnsi"/>
          <w:lang w:val="de-DE"/>
        </w:rPr>
        <w:t xml:space="preserve">Wechselakku Si1.5 mit </w:t>
      </w:r>
      <w:r w:rsidRPr="00942B7F">
        <w:rPr>
          <w:rFonts w:asciiTheme="majorHAnsi" w:hAnsiTheme="majorHAnsi" w:cstheme="majorHAnsi"/>
          <w:lang w:val="de-DE"/>
        </w:rPr>
        <w:t xml:space="preserve">48V </w:t>
      </w:r>
      <w:r w:rsidR="00783F24">
        <w:rPr>
          <w:rFonts w:asciiTheme="majorHAnsi" w:hAnsiTheme="majorHAnsi" w:cstheme="majorHAnsi"/>
          <w:lang w:val="de-DE"/>
        </w:rPr>
        <w:t xml:space="preserve">und </w:t>
      </w:r>
      <w:r w:rsidRPr="00942B7F">
        <w:rPr>
          <w:rFonts w:asciiTheme="majorHAnsi" w:hAnsiTheme="majorHAnsi" w:cstheme="majorHAnsi"/>
          <w:lang w:val="de-DE"/>
        </w:rPr>
        <w:t>1,5 kWh</w:t>
      </w:r>
      <w:r w:rsidR="00B831B2" w:rsidRPr="00B831B2">
        <w:rPr>
          <w:rFonts w:asciiTheme="majorHAnsi" w:hAnsiTheme="majorHAnsi" w:cstheme="majorHAnsi"/>
          <w:vertAlign w:val="superscript"/>
          <w:lang w:val="de-DE"/>
        </w:rPr>
        <w:t>(2)</w:t>
      </w:r>
      <w:r w:rsidRPr="00942B7F">
        <w:rPr>
          <w:rFonts w:asciiTheme="majorHAnsi" w:hAnsiTheme="majorHAnsi" w:cstheme="majorHAnsi"/>
          <w:lang w:val="de-DE"/>
        </w:rPr>
        <w:t xml:space="preserve"> </w:t>
      </w:r>
      <w:r w:rsidR="00783F24">
        <w:rPr>
          <w:rFonts w:asciiTheme="majorHAnsi" w:hAnsiTheme="majorHAnsi" w:cstheme="majorHAnsi"/>
          <w:lang w:val="de-DE"/>
        </w:rPr>
        <w:t>kennenlernen</w:t>
      </w:r>
      <w:r w:rsidRPr="00942B7F">
        <w:rPr>
          <w:rFonts w:asciiTheme="majorHAnsi" w:hAnsiTheme="majorHAnsi" w:cstheme="majorHAnsi"/>
          <w:lang w:val="de-DE"/>
        </w:rPr>
        <w:t xml:space="preserve">, </w:t>
      </w:r>
      <w:r w:rsidR="00783F24">
        <w:rPr>
          <w:rFonts w:asciiTheme="majorHAnsi" w:hAnsiTheme="majorHAnsi" w:cstheme="majorHAnsi"/>
          <w:lang w:val="de-DE"/>
        </w:rPr>
        <w:t xml:space="preserve">der </w:t>
      </w:r>
      <w:r w:rsidRPr="00942B7F">
        <w:rPr>
          <w:rFonts w:asciiTheme="majorHAnsi" w:hAnsiTheme="majorHAnsi" w:cstheme="majorHAnsi"/>
          <w:lang w:val="de-DE"/>
        </w:rPr>
        <w:t xml:space="preserve">marken- und anwendungsübergreifend genutzt werden kann, sowie </w:t>
      </w:r>
      <w:r w:rsidR="00783F24">
        <w:rPr>
          <w:rFonts w:asciiTheme="majorHAnsi" w:hAnsiTheme="majorHAnsi" w:cstheme="majorHAnsi"/>
          <w:lang w:val="de-DE"/>
        </w:rPr>
        <w:t xml:space="preserve">den Akku Fi5.0 mit </w:t>
      </w:r>
      <w:r w:rsidRPr="00942B7F">
        <w:rPr>
          <w:rFonts w:asciiTheme="majorHAnsi" w:hAnsiTheme="majorHAnsi" w:cstheme="majorHAnsi"/>
          <w:lang w:val="de-DE"/>
        </w:rPr>
        <w:t xml:space="preserve">48V </w:t>
      </w:r>
      <w:r w:rsidR="00783F24">
        <w:rPr>
          <w:rFonts w:asciiTheme="majorHAnsi" w:hAnsiTheme="majorHAnsi" w:cstheme="majorHAnsi"/>
          <w:lang w:val="de-DE"/>
        </w:rPr>
        <w:t xml:space="preserve">und </w:t>
      </w:r>
      <w:r w:rsidRPr="00942B7F">
        <w:rPr>
          <w:rFonts w:asciiTheme="majorHAnsi" w:hAnsiTheme="majorHAnsi" w:cstheme="majorHAnsi"/>
          <w:lang w:val="de-DE"/>
        </w:rPr>
        <w:t>5,0 kWh</w:t>
      </w:r>
      <w:r w:rsidR="00B831B2" w:rsidRPr="00B831B2">
        <w:rPr>
          <w:rFonts w:asciiTheme="majorHAnsi" w:hAnsiTheme="majorHAnsi" w:cstheme="majorHAnsi"/>
          <w:vertAlign w:val="superscript"/>
          <w:lang w:val="de-DE"/>
        </w:rPr>
        <w:t>(</w:t>
      </w:r>
      <w:r w:rsidR="00B831B2">
        <w:rPr>
          <w:rFonts w:asciiTheme="majorHAnsi" w:hAnsiTheme="majorHAnsi" w:cstheme="majorHAnsi"/>
          <w:vertAlign w:val="superscript"/>
          <w:lang w:val="de-DE"/>
        </w:rPr>
        <w:t>3</w:t>
      </w:r>
      <w:r w:rsidR="00B831B2" w:rsidRPr="00B831B2">
        <w:rPr>
          <w:rFonts w:asciiTheme="majorHAnsi" w:hAnsiTheme="majorHAnsi" w:cstheme="majorHAnsi"/>
          <w:vertAlign w:val="superscript"/>
          <w:lang w:val="de-DE"/>
        </w:rPr>
        <w:t>)</w:t>
      </w:r>
      <w:r w:rsidR="00783F24">
        <w:rPr>
          <w:rFonts w:asciiTheme="majorHAnsi" w:hAnsiTheme="majorHAnsi" w:cstheme="majorHAnsi"/>
          <w:lang w:val="de-DE"/>
        </w:rPr>
        <w:t xml:space="preserve">, </w:t>
      </w:r>
      <w:r w:rsidRPr="00942B7F">
        <w:rPr>
          <w:rFonts w:asciiTheme="majorHAnsi" w:hAnsiTheme="majorHAnsi" w:cstheme="majorHAnsi"/>
          <w:lang w:val="de-DE"/>
        </w:rPr>
        <w:t xml:space="preserve">ein fest </w:t>
      </w:r>
      <w:r w:rsidR="00783F24">
        <w:rPr>
          <w:rFonts w:asciiTheme="majorHAnsi" w:hAnsiTheme="majorHAnsi" w:cstheme="majorHAnsi"/>
          <w:lang w:val="de-DE"/>
        </w:rPr>
        <w:t xml:space="preserve">zu verbauender </w:t>
      </w:r>
      <w:r w:rsidRPr="00942B7F">
        <w:rPr>
          <w:rFonts w:asciiTheme="majorHAnsi" w:hAnsiTheme="majorHAnsi" w:cstheme="majorHAnsi"/>
          <w:lang w:val="de-DE"/>
        </w:rPr>
        <w:t>kommerzielle</w:t>
      </w:r>
      <w:r w:rsidR="00783F24">
        <w:rPr>
          <w:rFonts w:asciiTheme="majorHAnsi" w:hAnsiTheme="majorHAnsi" w:cstheme="majorHAnsi"/>
          <w:lang w:val="de-DE"/>
        </w:rPr>
        <w:t>r</w:t>
      </w:r>
      <w:r w:rsidRPr="00942B7F">
        <w:rPr>
          <w:rFonts w:asciiTheme="majorHAnsi" w:hAnsiTheme="majorHAnsi" w:cstheme="majorHAnsi"/>
          <w:lang w:val="de-DE"/>
        </w:rPr>
        <w:t xml:space="preserve"> </w:t>
      </w:r>
      <w:r w:rsidR="00783F24">
        <w:rPr>
          <w:rFonts w:asciiTheme="majorHAnsi" w:hAnsiTheme="majorHAnsi" w:cstheme="majorHAnsi"/>
          <w:lang w:val="de-DE"/>
        </w:rPr>
        <w:t xml:space="preserve">Akku </w:t>
      </w:r>
      <w:r w:rsidRPr="00942B7F">
        <w:rPr>
          <w:rFonts w:asciiTheme="majorHAnsi" w:hAnsiTheme="majorHAnsi" w:cstheme="majorHAnsi"/>
          <w:lang w:val="de-DE"/>
        </w:rPr>
        <w:t xml:space="preserve">für OEMs und Betreiber. </w:t>
      </w:r>
      <w:r w:rsidR="00783F24">
        <w:rPr>
          <w:rFonts w:asciiTheme="majorHAnsi" w:hAnsiTheme="majorHAnsi" w:cstheme="majorHAnsi"/>
          <w:lang w:val="de-DE"/>
        </w:rPr>
        <w:t>Beide Lithium-Ionen-Akkulösungen</w:t>
      </w:r>
      <w:r w:rsidRPr="00942B7F">
        <w:rPr>
          <w:rFonts w:asciiTheme="majorHAnsi" w:hAnsiTheme="majorHAnsi" w:cstheme="majorHAnsi"/>
          <w:lang w:val="de-DE"/>
        </w:rPr>
        <w:t xml:space="preserve"> wurden bereits erfolgreich in realen Anwendungen wie dem ARE-Abbruchroboter, der </w:t>
      </w:r>
      <w:proofErr w:type="spellStart"/>
      <w:r w:rsidRPr="00942B7F">
        <w:rPr>
          <w:rFonts w:asciiTheme="majorHAnsi" w:hAnsiTheme="majorHAnsi" w:cstheme="majorHAnsi"/>
          <w:lang w:val="de-DE"/>
        </w:rPr>
        <w:t>EQLab</w:t>
      </w:r>
      <w:proofErr w:type="spellEnd"/>
      <w:r w:rsidRPr="00942B7F">
        <w:rPr>
          <w:rFonts w:asciiTheme="majorHAnsi" w:hAnsiTheme="majorHAnsi" w:cstheme="majorHAnsi"/>
          <w:lang w:val="de-DE"/>
        </w:rPr>
        <w:t xml:space="preserve"> Powerbank, der B-Mac-</w:t>
      </w:r>
      <w:proofErr w:type="spellStart"/>
      <w:r w:rsidRPr="00942B7F">
        <w:rPr>
          <w:rFonts w:asciiTheme="majorHAnsi" w:hAnsiTheme="majorHAnsi" w:cstheme="majorHAnsi"/>
          <w:lang w:val="de-DE"/>
        </w:rPr>
        <w:t>Glättmaschine</w:t>
      </w:r>
      <w:proofErr w:type="spellEnd"/>
      <w:r w:rsidRPr="00942B7F">
        <w:rPr>
          <w:rFonts w:asciiTheme="majorHAnsi" w:hAnsiTheme="majorHAnsi" w:cstheme="majorHAnsi"/>
          <w:lang w:val="de-DE"/>
        </w:rPr>
        <w:t xml:space="preserve"> und dem </w:t>
      </w:r>
      <w:proofErr w:type="spellStart"/>
      <w:r w:rsidRPr="00942B7F">
        <w:rPr>
          <w:rFonts w:asciiTheme="majorHAnsi" w:hAnsiTheme="majorHAnsi" w:cstheme="majorHAnsi"/>
          <w:lang w:val="de-DE"/>
        </w:rPr>
        <w:t>Scorpick</w:t>
      </w:r>
      <w:proofErr w:type="spellEnd"/>
      <w:r w:rsidRPr="00942B7F">
        <w:rPr>
          <w:rFonts w:asciiTheme="majorHAnsi" w:hAnsiTheme="majorHAnsi" w:cstheme="majorHAnsi"/>
          <w:lang w:val="de-DE"/>
        </w:rPr>
        <w:t xml:space="preserve"> Pick &amp; Carry-Kran integriert.</w:t>
      </w:r>
    </w:p>
    <w:p w14:paraId="27E5BD8E" w14:textId="77777777" w:rsidR="00783F24" w:rsidRPr="00942B7F" w:rsidRDefault="00783F24" w:rsidP="00942B7F">
      <w:pPr>
        <w:spacing w:after="0" w:line="360" w:lineRule="auto"/>
        <w:rPr>
          <w:rFonts w:asciiTheme="majorHAnsi" w:hAnsiTheme="majorHAnsi" w:cstheme="majorHAnsi"/>
          <w:lang w:val="de-DE"/>
        </w:rPr>
      </w:pPr>
    </w:p>
    <w:p w14:paraId="2C6662A5" w14:textId="77777777" w:rsidR="00942B7F" w:rsidRPr="00942B7F" w:rsidRDefault="00942B7F" w:rsidP="00942B7F">
      <w:pPr>
        <w:spacing w:after="0" w:line="360" w:lineRule="auto"/>
        <w:rPr>
          <w:rFonts w:asciiTheme="majorHAnsi" w:hAnsiTheme="majorHAnsi" w:cstheme="majorHAnsi"/>
          <w:b/>
          <w:bCs/>
          <w:lang w:val="de-DE"/>
        </w:rPr>
      </w:pPr>
      <w:r w:rsidRPr="00942B7F">
        <w:rPr>
          <w:rFonts w:asciiTheme="majorHAnsi" w:hAnsiTheme="majorHAnsi" w:cstheme="majorHAnsi"/>
          <w:b/>
          <w:bCs/>
          <w:lang w:val="de-DE"/>
        </w:rPr>
        <w:t>Ein neuer Standard in der Elektrifizierung: Vanguard-Konsortium für den Bau</w:t>
      </w:r>
    </w:p>
    <w:p w14:paraId="6EE316B3" w14:textId="60AB4D65" w:rsidR="00942B7F" w:rsidRPr="00942B7F" w:rsidRDefault="00942B7F" w:rsidP="00942B7F">
      <w:pPr>
        <w:spacing w:after="0" w:line="360" w:lineRule="auto"/>
        <w:rPr>
          <w:rFonts w:asciiTheme="majorHAnsi" w:hAnsiTheme="majorHAnsi" w:cstheme="majorHAnsi"/>
          <w:lang w:val="de-DE"/>
        </w:rPr>
      </w:pPr>
      <w:r w:rsidRPr="00942B7F">
        <w:rPr>
          <w:rFonts w:asciiTheme="majorHAnsi" w:hAnsiTheme="majorHAnsi" w:cstheme="majorHAnsi"/>
          <w:lang w:val="de-DE"/>
        </w:rPr>
        <w:t xml:space="preserve">Vanguard </w:t>
      </w:r>
      <w:r w:rsidR="00235006" w:rsidRPr="00942B7F">
        <w:rPr>
          <w:rFonts w:asciiTheme="majorHAnsi" w:hAnsiTheme="majorHAnsi" w:cstheme="majorHAnsi"/>
          <w:lang w:val="de-DE"/>
        </w:rPr>
        <w:t xml:space="preserve">wird </w:t>
      </w:r>
      <w:r w:rsidRPr="00942B7F">
        <w:rPr>
          <w:rFonts w:asciiTheme="majorHAnsi" w:hAnsiTheme="majorHAnsi" w:cstheme="majorHAnsi"/>
          <w:lang w:val="de-DE"/>
        </w:rPr>
        <w:t xml:space="preserve">auf der </w:t>
      </w:r>
      <w:proofErr w:type="spellStart"/>
      <w:r w:rsidRPr="00942B7F">
        <w:rPr>
          <w:rFonts w:asciiTheme="majorHAnsi" w:hAnsiTheme="majorHAnsi" w:cstheme="majorHAnsi"/>
          <w:lang w:val="de-DE"/>
        </w:rPr>
        <w:t>bauma</w:t>
      </w:r>
      <w:proofErr w:type="spellEnd"/>
      <w:r w:rsidRPr="00942B7F">
        <w:rPr>
          <w:rFonts w:asciiTheme="majorHAnsi" w:hAnsiTheme="majorHAnsi" w:cstheme="majorHAnsi"/>
          <w:lang w:val="de-DE"/>
        </w:rPr>
        <w:t xml:space="preserve"> 2025 ein Elektrifizierungskonsortium für die Bauindustrie ins Leben rufen. Dieses Konsortium besteht aus OEMs, die sich für die Zusammenarbeit rund um das Si1.5-</w:t>
      </w:r>
      <w:r w:rsidR="00235006">
        <w:rPr>
          <w:rFonts w:asciiTheme="majorHAnsi" w:hAnsiTheme="majorHAnsi" w:cstheme="majorHAnsi"/>
          <w:lang w:val="de-DE"/>
        </w:rPr>
        <w:t>Wechselakku-S</w:t>
      </w:r>
      <w:r w:rsidRPr="00942B7F">
        <w:rPr>
          <w:rFonts w:asciiTheme="majorHAnsi" w:hAnsiTheme="majorHAnsi" w:cstheme="majorHAnsi"/>
          <w:lang w:val="de-DE"/>
        </w:rPr>
        <w:t>ystem entschieden haben. Das Portfolio dieser Gruppe umfasst verschiedene Bauanwendungen, von Fugenschneidern über Beton-</w:t>
      </w:r>
      <w:proofErr w:type="spellStart"/>
      <w:r w:rsidRPr="00942B7F">
        <w:rPr>
          <w:rFonts w:asciiTheme="majorHAnsi" w:hAnsiTheme="majorHAnsi" w:cstheme="majorHAnsi"/>
          <w:lang w:val="de-DE"/>
        </w:rPr>
        <w:t>Glättmaschinen</w:t>
      </w:r>
      <w:proofErr w:type="spellEnd"/>
      <w:r w:rsidRPr="00942B7F">
        <w:rPr>
          <w:rFonts w:asciiTheme="majorHAnsi" w:hAnsiTheme="majorHAnsi" w:cstheme="majorHAnsi"/>
          <w:lang w:val="de-DE"/>
        </w:rPr>
        <w:t xml:space="preserve"> bis hin zu Mini-Dumpern, die alle von einer standardisierten </w:t>
      </w:r>
      <w:r w:rsidR="00235006">
        <w:rPr>
          <w:rFonts w:asciiTheme="majorHAnsi" w:hAnsiTheme="majorHAnsi" w:cstheme="majorHAnsi"/>
          <w:lang w:val="de-DE"/>
        </w:rPr>
        <w:t>Akku</w:t>
      </w:r>
      <w:r w:rsidRPr="00942B7F">
        <w:rPr>
          <w:rFonts w:asciiTheme="majorHAnsi" w:hAnsiTheme="majorHAnsi" w:cstheme="majorHAnsi"/>
          <w:lang w:val="de-DE"/>
        </w:rPr>
        <w:t>plattform profitieren.</w:t>
      </w:r>
    </w:p>
    <w:p w14:paraId="18EACB2A" w14:textId="1AD43E30" w:rsidR="00942B7F" w:rsidRDefault="00942B7F" w:rsidP="00942B7F">
      <w:pPr>
        <w:spacing w:after="0" w:line="360" w:lineRule="auto"/>
        <w:rPr>
          <w:rFonts w:asciiTheme="majorHAnsi" w:hAnsiTheme="majorHAnsi" w:cstheme="majorHAnsi"/>
          <w:lang w:val="de-DE"/>
        </w:rPr>
      </w:pPr>
      <w:r w:rsidRPr="00942B7F">
        <w:rPr>
          <w:rFonts w:asciiTheme="majorHAnsi" w:hAnsiTheme="majorHAnsi" w:cstheme="majorHAnsi"/>
          <w:lang w:val="de-DE"/>
        </w:rPr>
        <w:t xml:space="preserve">Viele dieser Lösungen werden auf der </w:t>
      </w:r>
      <w:proofErr w:type="spellStart"/>
      <w:r w:rsidRPr="00942B7F">
        <w:rPr>
          <w:rFonts w:asciiTheme="majorHAnsi" w:hAnsiTheme="majorHAnsi" w:cstheme="majorHAnsi"/>
          <w:lang w:val="de-DE"/>
        </w:rPr>
        <w:t>bauma</w:t>
      </w:r>
      <w:proofErr w:type="spellEnd"/>
      <w:r w:rsidRPr="00942B7F">
        <w:rPr>
          <w:rFonts w:asciiTheme="majorHAnsi" w:hAnsiTheme="majorHAnsi" w:cstheme="majorHAnsi"/>
          <w:lang w:val="de-DE"/>
        </w:rPr>
        <w:t xml:space="preserve"> präsentiert</w:t>
      </w:r>
      <w:r w:rsidR="00235006">
        <w:rPr>
          <w:rFonts w:asciiTheme="majorHAnsi" w:hAnsiTheme="majorHAnsi" w:cstheme="majorHAnsi"/>
          <w:lang w:val="de-DE"/>
        </w:rPr>
        <w:t>.</w:t>
      </w:r>
      <w:r w:rsidRPr="00942B7F">
        <w:rPr>
          <w:rFonts w:asciiTheme="majorHAnsi" w:hAnsiTheme="majorHAnsi" w:cstheme="majorHAnsi"/>
          <w:lang w:val="de-DE"/>
        </w:rPr>
        <w:t xml:space="preserve"> </w:t>
      </w:r>
      <w:r w:rsidR="00235006">
        <w:rPr>
          <w:rFonts w:asciiTheme="majorHAnsi" w:hAnsiTheme="majorHAnsi" w:cstheme="majorHAnsi"/>
          <w:lang w:val="de-DE"/>
        </w:rPr>
        <w:t xml:space="preserve">Sie </w:t>
      </w:r>
      <w:r w:rsidRPr="00942B7F">
        <w:rPr>
          <w:rFonts w:asciiTheme="majorHAnsi" w:hAnsiTheme="majorHAnsi" w:cstheme="majorHAnsi"/>
          <w:lang w:val="de-DE"/>
        </w:rPr>
        <w:t xml:space="preserve">bieten </w:t>
      </w:r>
      <w:r w:rsidR="00235006">
        <w:rPr>
          <w:rFonts w:asciiTheme="majorHAnsi" w:hAnsiTheme="majorHAnsi" w:cstheme="majorHAnsi"/>
          <w:lang w:val="de-DE"/>
        </w:rPr>
        <w:t>vor allem</w:t>
      </w:r>
      <w:r w:rsidRPr="00942B7F">
        <w:rPr>
          <w:rFonts w:asciiTheme="majorHAnsi" w:hAnsiTheme="majorHAnsi" w:cstheme="majorHAnsi"/>
          <w:lang w:val="de-DE"/>
        </w:rPr>
        <w:t xml:space="preserve"> </w:t>
      </w:r>
      <w:r w:rsidR="00235006">
        <w:rPr>
          <w:rFonts w:asciiTheme="majorHAnsi" w:hAnsiTheme="majorHAnsi" w:cstheme="majorHAnsi"/>
          <w:lang w:val="de-DE"/>
        </w:rPr>
        <w:t>U</w:t>
      </w:r>
      <w:r w:rsidRPr="00942B7F">
        <w:rPr>
          <w:rFonts w:asciiTheme="majorHAnsi" w:hAnsiTheme="majorHAnsi" w:cstheme="majorHAnsi"/>
          <w:lang w:val="de-DE"/>
        </w:rPr>
        <w:t xml:space="preserve">nternehmen </w:t>
      </w:r>
      <w:r w:rsidR="00235006">
        <w:rPr>
          <w:rFonts w:asciiTheme="majorHAnsi" w:hAnsiTheme="majorHAnsi" w:cstheme="majorHAnsi"/>
          <w:lang w:val="de-DE"/>
        </w:rPr>
        <w:t xml:space="preserve">im Mietgeschäft zahlreiche </w:t>
      </w:r>
      <w:r w:rsidRPr="00942B7F">
        <w:rPr>
          <w:rFonts w:asciiTheme="majorHAnsi" w:hAnsiTheme="majorHAnsi" w:cstheme="majorHAnsi"/>
          <w:lang w:val="de-DE"/>
        </w:rPr>
        <w:t xml:space="preserve">elektrifizierte Maschinen, die mit </w:t>
      </w:r>
      <w:r w:rsidR="00235006">
        <w:rPr>
          <w:rFonts w:asciiTheme="majorHAnsi" w:hAnsiTheme="majorHAnsi" w:cstheme="majorHAnsi"/>
          <w:lang w:val="de-DE"/>
        </w:rPr>
        <w:t xml:space="preserve">ein und </w:t>
      </w:r>
      <w:r w:rsidRPr="00942B7F">
        <w:rPr>
          <w:rFonts w:asciiTheme="majorHAnsi" w:hAnsiTheme="majorHAnsi" w:cstheme="majorHAnsi"/>
          <w:lang w:val="de-DE"/>
        </w:rPr>
        <w:t xml:space="preserve">demselben </w:t>
      </w:r>
      <w:r w:rsidR="00235006">
        <w:rPr>
          <w:rFonts w:asciiTheme="majorHAnsi" w:hAnsiTheme="majorHAnsi" w:cstheme="majorHAnsi"/>
          <w:lang w:val="de-DE"/>
        </w:rPr>
        <w:t>Akku</w:t>
      </w:r>
      <w:r w:rsidRPr="00942B7F">
        <w:rPr>
          <w:rFonts w:asciiTheme="majorHAnsi" w:hAnsiTheme="majorHAnsi" w:cstheme="majorHAnsi"/>
          <w:lang w:val="de-DE"/>
        </w:rPr>
        <w:t xml:space="preserve">system betrieben werden. </w:t>
      </w:r>
      <w:r w:rsidR="00235006">
        <w:rPr>
          <w:rFonts w:asciiTheme="majorHAnsi" w:hAnsiTheme="majorHAnsi" w:cstheme="majorHAnsi"/>
          <w:lang w:val="de-DE"/>
        </w:rPr>
        <w:t xml:space="preserve">Mit dieser Form der </w:t>
      </w:r>
      <w:r w:rsidRPr="00942B7F">
        <w:rPr>
          <w:rFonts w:asciiTheme="majorHAnsi" w:hAnsiTheme="majorHAnsi" w:cstheme="majorHAnsi"/>
          <w:lang w:val="de-DE"/>
        </w:rPr>
        <w:t xml:space="preserve">Standardisierung ermöglicht </w:t>
      </w:r>
      <w:r w:rsidR="00235006">
        <w:rPr>
          <w:rFonts w:asciiTheme="majorHAnsi" w:hAnsiTheme="majorHAnsi" w:cstheme="majorHAnsi"/>
          <w:lang w:val="de-DE"/>
        </w:rPr>
        <w:t>der</w:t>
      </w:r>
      <w:r w:rsidRPr="00942B7F">
        <w:rPr>
          <w:rFonts w:asciiTheme="majorHAnsi" w:hAnsiTheme="majorHAnsi" w:cstheme="majorHAnsi"/>
          <w:lang w:val="de-DE"/>
        </w:rPr>
        <w:t xml:space="preserve"> Vanguard Si1.5-</w:t>
      </w:r>
      <w:r w:rsidR="00235006">
        <w:rPr>
          <w:rFonts w:asciiTheme="majorHAnsi" w:hAnsiTheme="majorHAnsi" w:cstheme="majorHAnsi"/>
          <w:lang w:val="de-DE"/>
        </w:rPr>
        <w:t>Wechselakku</w:t>
      </w:r>
      <w:r w:rsidRPr="00942B7F">
        <w:rPr>
          <w:rFonts w:asciiTheme="majorHAnsi" w:hAnsiTheme="majorHAnsi" w:cstheme="majorHAnsi"/>
          <w:lang w:val="de-DE"/>
        </w:rPr>
        <w:t xml:space="preserve"> eine einfache </w:t>
      </w:r>
      <w:r w:rsidR="00235006">
        <w:rPr>
          <w:rFonts w:asciiTheme="majorHAnsi" w:hAnsiTheme="majorHAnsi" w:cstheme="majorHAnsi"/>
          <w:lang w:val="de-DE"/>
        </w:rPr>
        <w:t>I</w:t>
      </w:r>
      <w:r w:rsidRPr="00942B7F">
        <w:rPr>
          <w:rFonts w:asciiTheme="majorHAnsi" w:hAnsiTheme="majorHAnsi" w:cstheme="majorHAnsi"/>
          <w:lang w:val="de-DE"/>
        </w:rPr>
        <w:t>ntegration</w:t>
      </w:r>
      <w:r w:rsidR="00235006">
        <w:rPr>
          <w:rFonts w:asciiTheme="majorHAnsi" w:hAnsiTheme="majorHAnsi" w:cstheme="majorHAnsi"/>
          <w:lang w:val="de-DE"/>
        </w:rPr>
        <w:t xml:space="preserve"> in bestehende Flotten</w:t>
      </w:r>
      <w:r w:rsidRPr="00942B7F">
        <w:rPr>
          <w:rFonts w:asciiTheme="majorHAnsi" w:hAnsiTheme="majorHAnsi" w:cstheme="majorHAnsi"/>
          <w:lang w:val="de-DE"/>
        </w:rPr>
        <w:t xml:space="preserve">, schnelles Laden und </w:t>
      </w:r>
      <w:r w:rsidR="00235006">
        <w:rPr>
          <w:rFonts w:asciiTheme="majorHAnsi" w:hAnsiTheme="majorHAnsi" w:cstheme="majorHAnsi"/>
          <w:lang w:val="de-DE"/>
        </w:rPr>
        <w:t>lange</w:t>
      </w:r>
      <w:r w:rsidRPr="00942B7F">
        <w:rPr>
          <w:rFonts w:asciiTheme="majorHAnsi" w:hAnsiTheme="majorHAnsi" w:cstheme="majorHAnsi"/>
          <w:lang w:val="de-DE"/>
        </w:rPr>
        <w:t xml:space="preserve"> Laufzeiten, was letztendlich zu niedrigeren Gesamtbetriebskosten für Vermieter und Eigentümer führt.</w:t>
      </w:r>
    </w:p>
    <w:p w14:paraId="5692B2A2" w14:textId="77777777" w:rsidR="00235006" w:rsidRPr="00942B7F" w:rsidRDefault="00235006" w:rsidP="00942B7F">
      <w:pPr>
        <w:spacing w:after="0" w:line="360" w:lineRule="auto"/>
        <w:rPr>
          <w:rFonts w:asciiTheme="majorHAnsi" w:hAnsiTheme="majorHAnsi" w:cstheme="majorHAnsi"/>
          <w:lang w:val="de-DE"/>
        </w:rPr>
      </w:pPr>
    </w:p>
    <w:p w14:paraId="2CCC6F63" w14:textId="564EC95D" w:rsidR="00942B7F" w:rsidRPr="00942B7F" w:rsidRDefault="00942B7F" w:rsidP="00942B7F">
      <w:pPr>
        <w:spacing w:after="0" w:line="360" w:lineRule="auto"/>
        <w:rPr>
          <w:rFonts w:asciiTheme="majorHAnsi" w:hAnsiTheme="majorHAnsi" w:cstheme="majorHAnsi"/>
          <w:lang w:val="de-DE"/>
        </w:rPr>
      </w:pPr>
      <w:r w:rsidRPr="00942B7F">
        <w:rPr>
          <w:rFonts w:asciiTheme="majorHAnsi" w:hAnsiTheme="majorHAnsi" w:cstheme="majorHAnsi"/>
          <w:lang w:val="de-DE"/>
        </w:rPr>
        <w:t>Pia Weimer, Director Marketing EMEA bei Briggs &amp; Stratton, erklärt:</w:t>
      </w:r>
      <w:r w:rsidR="00235006">
        <w:rPr>
          <w:rFonts w:asciiTheme="majorHAnsi" w:hAnsiTheme="majorHAnsi" w:cstheme="majorHAnsi"/>
          <w:lang w:val="de-DE"/>
        </w:rPr>
        <w:t xml:space="preserve"> </w:t>
      </w:r>
      <w:r w:rsidRPr="00942B7F">
        <w:rPr>
          <w:rFonts w:asciiTheme="majorHAnsi" w:hAnsiTheme="majorHAnsi" w:cstheme="majorHAnsi"/>
          <w:lang w:val="de-DE"/>
        </w:rPr>
        <w:t xml:space="preserve">"Wir freuen uns darauf, das gesamte Spektrum der Vanguard-Antriebslösungen auf der </w:t>
      </w:r>
      <w:proofErr w:type="spellStart"/>
      <w:r w:rsidRPr="00942B7F">
        <w:rPr>
          <w:rFonts w:asciiTheme="majorHAnsi" w:hAnsiTheme="majorHAnsi" w:cstheme="majorHAnsi"/>
          <w:lang w:val="de-DE"/>
        </w:rPr>
        <w:t>bauma</w:t>
      </w:r>
      <w:proofErr w:type="spellEnd"/>
      <w:r w:rsidRPr="00942B7F">
        <w:rPr>
          <w:rFonts w:asciiTheme="majorHAnsi" w:hAnsiTheme="majorHAnsi" w:cstheme="majorHAnsi"/>
          <w:lang w:val="de-DE"/>
        </w:rPr>
        <w:t xml:space="preserve"> 2025 zu präsentieren. Unsere innovativen Produkte und Anwendungen für die Bauindustrie unterstreichen unser Engagement, Kunden mit</w:t>
      </w:r>
      <w:r w:rsidR="00235006">
        <w:rPr>
          <w:rFonts w:asciiTheme="majorHAnsi" w:hAnsiTheme="majorHAnsi" w:cstheme="majorHAnsi"/>
          <w:lang w:val="de-DE"/>
        </w:rPr>
        <w:t xml:space="preserve"> genau solchen</w:t>
      </w:r>
      <w:r w:rsidRPr="00942B7F">
        <w:rPr>
          <w:rFonts w:asciiTheme="majorHAnsi" w:hAnsiTheme="majorHAnsi" w:cstheme="majorHAnsi"/>
          <w:lang w:val="de-DE"/>
        </w:rPr>
        <w:t xml:space="preserve"> Lösungen zu unterstützen, </w:t>
      </w:r>
      <w:r w:rsidRPr="00942B7F">
        <w:rPr>
          <w:rFonts w:asciiTheme="majorHAnsi" w:hAnsiTheme="majorHAnsi" w:cstheme="majorHAnsi"/>
          <w:lang w:val="de-DE"/>
        </w:rPr>
        <w:lastRenderedPageBreak/>
        <w:t>die auf ihre individuellen Anforderungen zugeschnitten sind.</w:t>
      </w:r>
      <w:r w:rsidR="00235006">
        <w:rPr>
          <w:rFonts w:asciiTheme="majorHAnsi" w:hAnsiTheme="majorHAnsi" w:cstheme="majorHAnsi"/>
          <w:lang w:val="de-DE"/>
        </w:rPr>
        <w:t xml:space="preserve"> </w:t>
      </w:r>
      <w:r w:rsidRPr="00942B7F">
        <w:rPr>
          <w:rFonts w:asciiTheme="majorHAnsi" w:hAnsiTheme="majorHAnsi" w:cstheme="majorHAnsi"/>
          <w:lang w:val="de-DE"/>
        </w:rPr>
        <w:t>Unsere Leidenschaft für Leistung treibt uns an, sowohl Verbrennungs- als auch Elektrifizierungstechnologien anzubieten, die eine branchenführende Leistung und niedrigere Gesamtbetriebskosten für unsere Kunden ermöglichen.</w:t>
      </w:r>
      <w:r w:rsidR="00235006">
        <w:rPr>
          <w:rFonts w:asciiTheme="majorHAnsi" w:hAnsiTheme="majorHAnsi" w:cstheme="majorHAnsi"/>
          <w:lang w:val="de-DE"/>
        </w:rPr>
        <w:t xml:space="preserve"> </w:t>
      </w:r>
      <w:r w:rsidRPr="00942B7F">
        <w:rPr>
          <w:rFonts w:asciiTheme="majorHAnsi" w:hAnsiTheme="majorHAnsi" w:cstheme="majorHAnsi"/>
          <w:lang w:val="de-DE"/>
        </w:rPr>
        <w:t>Wir freuen uns darauf, Besucher an unserem Stand willkommen zu heißen, ihnen die idealen Antriebslösungen für ihre Projekte zu präsentieren und Einblicke in unsere umfassenden Schulungen, branchenführenden Serviceangebote und technische Unterstützung zu geben."</w:t>
      </w:r>
    </w:p>
    <w:p w14:paraId="527B075B" w14:textId="77777777" w:rsidR="00235006" w:rsidRDefault="00235006" w:rsidP="00942B7F">
      <w:pPr>
        <w:spacing w:after="0" w:line="360" w:lineRule="auto"/>
        <w:rPr>
          <w:rFonts w:asciiTheme="majorHAnsi" w:hAnsiTheme="majorHAnsi" w:cstheme="majorHAnsi"/>
          <w:lang w:val="de-DE"/>
        </w:rPr>
      </w:pPr>
    </w:p>
    <w:p w14:paraId="39D9F83D" w14:textId="0CA1583F" w:rsidR="00942B7F" w:rsidRDefault="00235006" w:rsidP="00942B7F">
      <w:pPr>
        <w:spacing w:after="0" w:line="360" w:lineRule="auto"/>
        <w:rPr>
          <w:rFonts w:asciiTheme="majorHAnsi" w:hAnsiTheme="majorHAnsi" w:cstheme="majorHAnsi"/>
          <w:lang w:val="de-DE"/>
        </w:rPr>
      </w:pPr>
      <w:r>
        <w:rPr>
          <w:rFonts w:asciiTheme="majorHAnsi" w:hAnsiTheme="majorHAnsi" w:cstheme="majorHAnsi"/>
          <w:lang w:val="de-DE"/>
        </w:rPr>
        <w:t xml:space="preserve">Mit seiner Präsenz auf der </w:t>
      </w:r>
      <w:proofErr w:type="spellStart"/>
      <w:r>
        <w:rPr>
          <w:rFonts w:asciiTheme="majorHAnsi" w:hAnsiTheme="majorHAnsi" w:cstheme="majorHAnsi"/>
          <w:lang w:val="de-DE"/>
        </w:rPr>
        <w:t>bauma</w:t>
      </w:r>
      <w:proofErr w:type="spellEnd"/>
      <w:r>
        <w:rPr>
          <w:rFonts w:asciiTheme="majorHAnsi" w:hAnsiTheme="majorHAnsi" w:cstheme="majorHAnsi"/>
          <w:lang w:val="de-DE"/>
        </w:rPr>
        <w:t xml:space="preserve"> unterstreicht </w:t>
      </w:r>
      <w:r w:rsidR="00942B7F" w:rsidRPr="00942B7F">
        <w:rPr>
          <w:rFonts w:asciiTheme="majorHAnsi" w:hAnsiTheme="majorHAnsi" w:cstheme="majorHAnsi"/>
          <w:lang w:val="de-DE"/>
        </w:rPr>
        <w:t>Briggs &amp; Stratton sein Engagement für Innovation, Zuverlässigkeit und Leistung. Durch fortschrittliche Motorentechnologie und wegweisende Elektrifizierungslösungen führt Vanguard die Zukunft der Bauindustrie an.</w:t>
      </w:r>
    </w:p>
    <w:p w14:paraId="6DADBBBD" w14:textId="77777777" w:rsidR="00235006" w:rsidRPr="00942B7F" w:rsidRDefault="00235006" w:rsidP="00942B7F">
      <w:pPr>
        <w:spacing w:after="0" w:line="360" w:lineRule="auto"/>
        <w:rPr>
          <w:rFonts w:asciiTheme="majorHAnsi" w:hAnsiTheme="majorHAnsi" w:cstheme="majorHAnsi"/>
          <w:lang w:val="de-DE"/>
        </w:rPr>
      </w:pPr>
    </w:p>
    <w:p w14:paraId="7A151CBD" w14:textId="476B0321" w:rsidR="00942B7F" w:rsidRDefault="00235006" w:rsidP="00942B7F">
      <w:pPr>
        <w:spacing w:after="0" w:line="360" w:lineRule="auto"/>
        <w:rPr>
          <w:rFonts w:asciiTheme="majorHAnsi" w:hAnsiTheme="majorHAnsi" w:cstheme="majorHAnsi"/>
          <w:lang w:val="de-DE"/>
        </w:rPr>
      </w:pPr>
      <w:r>
        <w:rPr>
          <w:rFonts w:asciiTheme="majorHAnsi" w:hAnsiTheme="majorHAnsi" w:cstheme="majorHAnsi"/>
          <w:lang w:val="de-DE"/>
        </w:rPr>
        <w:t>Erfahren Sie mehr und b</w:t>
      </w:r>
      <w:r w:rsidR="00942B7F" w:rsidRPr="00942B7F">
        <w:rPr>
          <w:rFonts w:asciiTheme="majorHAnsi" w:hAnsiTheme="majorHAnsi" w:cstheme="majorHAnsi"/>
          <w:lang w:val="de-DE"/>
        </w:rPr>
        <w:t>esuchen Sie Briggs &amp; Stratton vom 7. bis 13. April an Stand 349, Halle A2.</w:t>
      </w:r>
    </w:p>
    <w:p w14:paraId="0AB7C056" w14:textId="77777777" w:rsidR="00B831B2" w:rsidRDefault="00B831B2" w:rsidP="00942B7F">
      <w:pPr>
        <w:spacing w:after="0" w:line="360" w:lineRule="auto"/>
        <w:rPr>
          <w:rFonts w:asciiTheme="majorHAnsi" w:hAnsiTheme="majorHAnsi" w:cstheme="majorHAnsi"/>
          <w:lang w:val="de-DE"/>
        </w:rPr>
      </w:pPr>
    </w:p>
    <w:p w14:paraId="5A34C176" w14:textId="74B2ED0F" w:rsidR="00B831B2" w:rsidRPr="00423667" w:rsidRDefault="00B831B2" w:rsidP="00B831B2">
      <w:pPr>
        <w:spacing w:before="240" w:after="240"/>
        <w:rPr>
          <w:lang w:val="en-GB"/>
        </w:rPr>
      </w:pPr>
      <w:r>
        <w:rPr>
          <w:rFonts w:asciiTheme="majorHAnsi" w:hAnsiTheme="majorHAnsi" w:cstheme="majorHAnsi"/>
          <w:lang w:val="de-DE"/>
        </w:rPr>
        <w:t xml:space="preserve">Weitere Informationen: </w:t>
      </w:r>
      <w:hyperlink r:id="rId11" w:history="1">
        <w:r w:rsidRPr="004F602E">
          <w:rPr>
            <w:rStyle w:val="Hyperlink"/>
            <w:lang w:val="en-GB"/>
          </w:rPr>
          <w:t>www.vanguardpower.com</w:t>
        </w:r>
      </w:hyperlink>
    </w:p>
    <w:p w14:paraId="0754A55A" w14:textId="77777777" w:rsidR="00B831B2" w:rsidRDefault="00B831B2" w:rsidP="00942B7F">
      <w:pPr>
        <w:pBdr>
          <w:bottom w:val="single" w:sz="6" w:space="1" w:color="auto"/>
        </w:pBdr>
        <w:spacing w:after="0" w:line="360" w:lineRule="auto"/>
        <w:rPr>
          <w:rFonts w:asciiTheme="majorHAnsi" w:hAnsiTheme="majorHAnsi" w:cstheme="majorHAnsi"/>
          <w:lang w:val="de-DE"/>
        </w:rPr>
      </w:pPr>
    </w:p>
    <w:p w14:paraId="197430DD" w14:textId="77777777" w:rsidR="00B831B2" w:rsidRDefault="00B831B2" w:rsidP="00942B7F">
      <w:pPr>
        <w:spacing w:after="0" w:line="360" w:lineRule="auto"/>
        <w:rPr>
          <w:rFonts w:asciiTheme="majorHAnsi" w:hAnsiTheme="majorHAnsi" w:cstheme="majorHAnsi"/>
          <w:lang w:val="de-DE"/>
        </w:rPr>
      </w:pPr>
    </w:p>
    <w:p w14:paraId="72FC0130" w14:textId="42D2A64C" w:rsidR="00B831B2" w:rsidRPr="00B831B2" w:rsidRDefault="00B831B2" w:rsidP="00B831B2">
      <w:pPr>
        <w:spacing w:after="0" w:line="360" w:lineRule="auto"/>
        <w:ind w:right="-165"/>
        <w:rPr>
          <w:rFonts w:asciiTheme="majorHAnsi" w:hAnsiTheme="majorHAnsi" w:cstheme="majorHAnsi"/>
          <w:sz w:val="18"/>
          <w:szCs w:val="18"/>
          <w:lang w:val="de-DE"/>
        </w:rPr>
      </w:pPr>
      <w:r w:rsidRPr="00B831B2">
        <w:rPr>
          <w:rFonts w:asciiTheme="majorHAnsi" w:hAnsiTheme="majorHAnsi" w:cstheme="majorHAnsi"/>
          <w:sz w:val="18"/>
          <w:szCs w:val="18"/>
          <w:vertAlign w:val="superscript"/>
          <w:lang w:val="de-DE"/>
        </w:rPr>
        <w:t>1</w:t>
      </w:r>
      <w:r>
        <w:rPr>
          <w:rFonts w:asciiTheme="majorHAnsi" w:hAnsiTheme="majorHAnsi" w:cstheme="majorHAnsi"/>
          <w:sz w:val="18"/>
          <w:szCs w:val="18"/>
          <w:lang w:val="de-DE"/>
        </w:rPr>
        <w:t xml:space="preserve"> </w:t>
      </w:r>
      <w:r w:rsidRPr="00B831B2">
        <w:rPr>
          <w:rFonts w:asciiTheme="majorHAnsi" w:hAnsiTheme="majorHAnsi" w:cstheme="majorHAnsi"/>
          <w:sz w:val="18"/>
          <w:szCs w:val="18"/>
          <w:lang w:val="de-DE"/>
        </w:rPr>
        <w:t>Die Leistungsstufen werden in Brutto-Kilowatt gemäß SAE J1940 angegeben, wie von Briggs &amp; Stratton bewertet.</w:t>
      </w:r>
    </w:p>
    <w:p w14:paraId="057A6E65" w14:textId="620F0AE5" w:rsidR="00B831B2" w:rsidRPr="00B831B2" w:rsidRDefault="00B831B2" w:rsidP="00B831B2">
      <w:pPr>
        <w:spacing w:after="0" w:line="360" w:lineRule="auto"/>
        <w:rPr>
          <w:rFonts w:asciiTheme="majorHAnsi" w:hAnsiTheme="majorHAnsi" w:cstheme="majorHAnsi"/>
          <w:sz w:val="18"/>
          <w:szCs w:val="18"/>
          <w:lang w:val="de-DE"/>
        </w:rPr>
      </w:pPr>
      <w:r w:rsidRPr="00B831B2">
        <w:rPr>
          <w:rFonts w:asciiTheme="majorHAnsi" w:hAnsiTheme="majorHAnsi" w:cstheme="majorHAnsi"/>
          <w:sz w:val="18"/>
          <w:szCs w:val="18"/>
          <w:vertAlign w:val="superscript"/>
          <w:lang w:val="de-DE"/>
        </w:rPr>
        <w:t>2</w:t>
      </w:r>
      <w:r>
        <w:rPr>
          <w:rFonts w:asciiTheme="majorHAnsi" w:hAnsiTheme="majorHAnsi" w:cstheme="majorHAnsi"/>
          <w:sz w:val="18"/>
          <w:szCs w:val="18"/>
          <w:lang w:val="de-DE"/>
        </w:rPr>
        <w:t xml:space="preserve"> </w:t>
      </w:r>
      <w:r w:rsidRPr="00B831B2">
        <w:rPr>
          <w:rFonts w:asciiTheme="majorHAnsi" w:hAnsiTheme="majorHAnsi" w:cstheme="majorHAnsi"/>
          <w:sz w:val="18"/>
          <w:szCs w:val="18"/>
          <w:lang w:val="de-DE"/>
        </w:rPr>
        <w:t>Basierend auf Tests zur Zelllebensdauer unter Verwendung einer 10A-Entladung und einer 1C-Ladung.</w:t>
      </w:r>
    </w:p>
    <w:p w14:paraId="5D675186" w14:textId="0DC88F48" w:rsidR="00B831B2" w:rsidRPr="00942B7F" w:rsidRDefault="00B831B2" w:rsidP="00B831B2">
      <w:pPr>
        <w:spacing w:after="0" w:line="360" w:lineRule="auto"/>
        <w:rPr>
          <w:rFonts w:asciiTheme="majorHAnsi" w:hAnsiTheme="majorHAnsi" w:cstheme="majorHAnsi"/>
          <w:sz w:val="18"/>
          <w:szCs w:val="18"/>
          <w:lang w:val="de-DE"/>
        </w:rPr>
      </w:pPr>
      <w:r w:rsidRPr="00B831B2">
        <w:rPr>
          <w:rFonts w:asciiTheme="majorHAnsi" w:hAnsiTheme="majorHAnsi" w:cstheme="majorHAnsi"/>
          <w:sz w:val="18"/>
          <w:szCs w:val="18"/>
          <w:vertAlign w:val="superscript"/>
          <w:lang w:val="de-DE"/>
        </w:rPr>
        <w:t>3</w:t>
      </w:r>
      <w:r>
        <w:rPr>
          <w:rFonts w:asciiTheme="majorHAnsi" w:hAnsiTheme="majorHAnsi" w:cstheme="majorHAnsi"/>
          <w:sz w:val="18"/>
          <w:szCs w:val="18"/>
          <w:lang w:val="de-DE"/>
        </w:rPr>
        <w:t xml:space="preserve"> </w:t>
      </w:r>
      <w:r w:rsidRPr="00B831B2">
        <w:rPr>
          <w:rFonts w:asciiTheme="majorHAnsi" w:hAnsiTheme="majorHAnsi" w:cstheme="majorHAnsi"/>
          <w:sz w:val="18"/>
          <w:szCs w:val="18"/>
          <w:lang w:val="de-DE"/>
        </w:rPr>
        <w:t>Basierend auf Tests zur Zelllebensdauer unter Verwendung einer 1A-Entladung und einer 0,5C-Ladung.</w:t>
      </w:r>
    </w:p>
    <w:p w14:paraId="42A17B83" w14:textId="7CA35D58" w:rsidR="00942B7F" w:rsidRDefault="00942B7F">
      <w:pPr>
        <w:rPr>
          <w:rFonts w:asciiTheme="majorHAnsi" w:hAnsiTheme="majorHAnsi" w:cstheme="majorHAnsi"/>
          <w:lang w:val="de-DE"/>
        </w:rPr>
      </w:pPr>
    </w:p>
    <w:p w14:paraId="0AB265CE" w14:textId="02AE0D6D" w:rsidR="00385348" w:rsidRDefault="00DF1167" w:rsidP="00385348">
      <w:pPr>
        <w:spacing w:after="0" w:line="360" w:lineRule="auto"/>
        <w:rPr>
          <w:rFonts w:asciiTheme="majorHAnsi" w:eastAsia="Arial" w:hAnsiTheme="majorHAnsi" w:cstheme="majorHAnsi"/>
          <w:i/>
          <w:iCs/>
          <w:sz w:val="20"/>
          <w:szCs w:val="20"/>
          <w:lang w:val="de-DE"/>
        </w:rPr>
      </w:pPr>
      <w:r w:rsidRPr="00813415">
        <w:rPr>
          <w:rFonts w:asciiTheme="majorHAnsi" w:eastAsia="Arial" w:hAnsiTheme="majorHAnsi" w:cstheme="majorHAnsi"/>
          <w:i/>
          <w:iCs/>
          <w:sz w:val="20"/>
          <w:szCs w:val="20"/>
          <w:lang w:val="de-DE"/>
        </w:rPr>
        <w:t>Foto</w:t>
      </w:r>
      <w:r w:rsidR="000A2753">
        <w:rPr>
          <w:rFonts w:asciiTheme="majorHAnsi" w:eastAsia="Arial" w:hAnsiTheme="majorHAnsi" w:cstheme="majorHAnsi"/>
          <w:i/>
          <w:iCs/>
          <w:sz w:val="20"/>
          <w:szCs w:val="20"/>
          <w:lang w:val="de-DE"/>
        </w:rPr>
        <w:t>s</w:t>
      </w:r>
      <w:r w:rsidR="00385348" w:rsidRPr="00813415">
        <w:rPr>
          <w:rFonts w:asciiTheme="majorHAnsi" w:eastAsia="Arial" w:hAnsiTheme="majorHAnsi" w:cstheme="majorHAnsi"/>
          <w:i/>
          <w:iCs/>
          <w:sz w:val="20"/>
          <w:szCs w:val="20"/>
          <w:lang w:val="de-DE"/>
        </w:rPr>
        <w:t>: Briggs &amp; Stratton</w:t>
      </w:r>
    </w:p>
    <w:p w14:paraId="2A9F5B54" w14:textId="77777777" w:rsidR="00B831B2" w:rsidRPr="00813415" w:rsidRDefault="00B831B2" w:rsidP="00385348">
      <w:pPr>
        <w:spacing w:after="0" w:line="360" w:lineRule="auto"/>
        <w:rPr>
          <w:rFonts w:asciiTheme="majorHAnsi" w:eastAsia="Arial" w:hAnsiTheme="majorHAnsi" w:cstheme="majorHAnsi"/>
          <w:i/>
          <w:iCs/>
          <w:sz w:val="20"/>
          <w:szCs w:val="20"/>
          <w:lang w:val="de-DE"/>
        </w:rPr>
      </w:pPr>
    </w:p>
    <w:p w14:paraId="65FB4239" w14:textId="77777777" w:rsidR="0009732C" w:rsidRDefault="0009732C" w:rsidP="0009732C">
      <w:pPr>
        <w:spacing w:after="0" w:line="360" w:lineRule="auto"/>
        <w:rPr>
          <w:rFonts w:asciiTheme="majorHAnsi" w:eastAsia="Arial" w:hAnsiTheme="majorHAnsi" w:cstheme="majorHAnsi"/>
          <w:i/>
          <w:iCs/>
          <w:sz w:val="20"/>
          <w:szCs w:val="20"/>
          <w:lang w:val="de-DE"/>
        </w:rPr>
      </w:pPr>
      <w:r>
        <w:rPr>
          <w:noProof/>
        </w:rPr>
        <w:lastRenderedPageBreak/>
        <w:drawing>
          <wp:inline distT="0" distB="0" distL="0" distR="0" wp14:anchorId="7055404B" wp14:editId="11907775">
            <wp:extent cx="2514600" cy="1685925"/>
            <wp:effectExtent l="0" t="0" r="0" b="9525"/>
            <wp:docPr id="947131518" name="Grafik 1" descr="Ein Bild, das Menschliches Gesicht, Kleidung, Person,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131518" name="Grafik 1" descr="Ein Bild, das Menschliches Gesicht, Kleidung, Person, Lächeln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7328691C" w14:textId="77777777" w:rsidR="0009732C" w:rsidRDefault="0009732C" w:rsidP="0009732C">
      <w:pPr>
        <w:spacing w:after="0" w:line="360" w:lineRule="auto"/>
        <w:rPr>
          <w:rFonts w:asciiTheme="majorHAnsi" w:eastAsia="Arial" w:hAnsiTheme="majorHAnsi" w:cstheme="majorHAnsi"/>
          <w:i/>
          <w:iCs/>
          <w:sz w:val="20"/>
          <w:szCs w:val="20"/>
          <w:lang w:val="de-DE"/>
        </w:rPr>
        <w:sectPr w:rsidR="0009732C" w:rsidSect="00B831B2">
          <w:headerReference w:type="default" r:id="rId13"/>
          <w:type w:val="continuous"/>
          <w:pgSz w:w="12240" w:h="15840"/>
          <w:pgMar w:top="2694" w:right="2601" w:bottom="1440" w:left="1440" w:header="720" w:footer="720" w:gutter="0"/>
          <w:pgNumType w:start="1"/>
          <w:cols w:space="720"/>
        </w:sectPr>
      </w:pPr>
      <w:r w:rsidRPr="003C6220">
        <w:rPr>
          <w:rFonts w:asciiTheme="majorHAnsi" w:eastAsia="Arial" w:hAnsiTheme="majorHAnsi" w:cstheme="majorHAnsi"/>
          <w:i/>
          <w:iCs/>
          <w:sz w:val="20"/>
          <w:szCs w:val="20"/>
          <w:lang w:val="de-DE"/>
        </w:rPr>
        <w:t>Pia Weimer, Marketing-Direktorin EMEA bei Briggs &amp; Stratto</w:t>
      </w:r>
      <w:r>
        <w:rPr>
          <w:rFonts w:asciiTheme="majorHAnsi" w:eastAsia="Arial" w:hAnsiTheme="majorHAnsi" w:cstheme="majorHAnsi"/>
          <w:i/>
          <w:iCs/>
          <w:sz w:val="20"/>
          <w:szCs w:val="20"/>
          <w:lang w:val="de-DE"/>
        </w:rPr>
        <w:t>n</w:t>
      </w:r>
    </w:p>
    <w:p w14:paraId="615DC92A" w14:textId="77777777" w:rsidR="0009732C" w:rsidRDefault="0009732C" w:rsidP="00385348">
      <w:pPr>
        <w:spacing w:after="0" w:line="360" w:lineRule="auto"/>
        <w:rPr>
          <w:rFonts w:asciiTheme="majorHAnsi" w:eastAsia="Arial" w:hAnsiTheme="majorHAnsi" w:cstheme="majorHAnsi"/>
          <w:i/>
          <w:iCs/>
          <w:sz w:val="20"/>
          <w:szCs w:val="20"/>
          <w:lang w:val="de-DE"/>
        </w:rPr>
      </w:pPr>
    </w:p>
    <w:p w14:paraId="1BB45732" w14:textId="423C6E55" w:rsidR="0034112E" w:rsidRDefault="0034112E" w:rsidP="00385348">
      <w:pPr>
        <w:spacing w:after="0" w:line="360" w:lineRule="auto"/>
        <w:rPr>
          <w:rFonts w:asciiTheme="majorHAnsi" w:eastAsia="Arial" w:hAnsiTheme="majorHAnsi" w:cstheme="majorHAnsi"/>
          <w:i/>
          <w:iCs/>
          <w:sz w:val="20"/>
          <w:szCs w:val="20"/>
          <w:lang w:val="de-DE"/>
        </w:rPr>
      </w:pPr>
      <w:r>
        <w:rPr>
          <w:noProof/>
        </w:rPr>
        <w:drawing>
          <wp:inline distT="0" distB="0" distL="0" distR="0" wp14:anchorId="65DDF8BC" wp14:editId="236190C4">
            <wp:extent cx="2876550" cy="1943100"/>
            <wp:effectExtent l="0" t="0" r="0" b="0"/>
            <wp:docPr id="434560496" name="Grafik 1" descr="Ein Bild, das Maschine, Kameras und Optik, Kamer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560496" name="Grafik 1" descr="Ein Bild, das Maschine, Kameras und Optik, Kamera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1943100"/>
                    </a:xfrm>
                    <a:prstGeom prst="rect">
                      <a:avLst/>
                    </a:prstGeom>
                    <a:noFill/>
                    <a:ln>
                      <a:noFill/>
                    </a:ln>
                  </pic:spPr>
                </pic:pic>
              </a:graphicData>
            </a:graphic>
          </wp:inline>
        </w:drawing>
      </w:r>
    </w:p>
    <w:p w14:paraId="06B6C0E9" w14:textId="48B7AD02" w:rsidR="00522171" w:rsidRDefault="0034112E" w:rsidP="00385348">
      <w:pPr>
        <w:spacing w:after="0" w:line="360" w:lineRule="auto"/>
        <w:rPr>
          <w:rFonts w:asciiTheme="majorHAnsi" w:eastAsia="Arial" w:hAnsiTheme="majorHAnsi" w:cstheme="majorHAnsi"/>
          <w:i/>
          <w:iCs/>
          <w:sz w:val="20"/>
          <w:szCs w:val="20"/>
          <w:lang w:val="de-DE"/>
        </w:rPr>
      </w:pPr>
      <w:r>
        <w:rPr>
          <w:rFonts w:asciiTheme="majorHAnsi" w:eastAsia="Arial" w:hAnsiTheme="majorHAnsi" w:cstheme="majorHAnsi"/>
          <w:i/>
          <w:iCs/>
          <w:sz w:val="20"/>
          <w:szCs w:val="20"/>
          <w:lang w:val="de-DE"/>
        </w:rPr>
        <w:t xml:space="preserve">Von effizienten Benzinmotoren bis hin zu innovativer Akkutechnik reicht das Portfolio der Antriebslösungen bei Vanguard, der Premiummarke von </w:t>
      </w:r>
      <w:r w:rsidR="00522171" w:rsidRPr="00522171">
        <w:rPr>
          <w:rFonts w:asciiTheme="majorHAnsi" w:eastAsia="Arial" w:hAnsiTheme="majorHAnsi" w:cstheme="majorHAnsi"/>
          <w:i/>
          <w:iCs/>
          <w:sz w:val="20"/>
          <w:szCs w:val="20"/>
          <w:lang w:val="de-DE"/>
        </w:rPr>
        <w:t>Briggs &amp; Stratton</w:t>
      </w:r>
    </w:p>
    <w:p w14:paraId="2A549A24" w14:textId="77777777" w:rsidR="0034112E" w:rsidRDefault="0034112E" w:rsidP="0009732C">
      <w:pPr>
        <w:spacing w:after="0" w:line="360" w:lineRule="auto"/>
        <w:rPr>
          <w:rFonts w:asciiTheme="majorHAnsi" w:eastAsia="Arial" w:hAnsiTheme="majorHAnsi" w:cstheme="majorHAnsi"/>
          <w:i/>
          <w:iCs/>
          <w:sz w:val="20"/>
          <w:szCs w:val="20"/>
          <w:lang w:val="de-DE"/>
        </w:rPr>
      </w:pPr>
    </w:p>
    <w:p w14:paraId="5E56B617" w14:textId="49750BDB" w:rsidR="0009732C" w:rsidRPr="0009732C" w:rsidRDefault="0009732C" w:rsidP="0009732C">
      <w:pPr>
        <w:spacing w:after="0" w:line="360" w:lineRule="auto"/>
        <w:rPr>
          <w:rFonts w:asciiTheme="majorHAnsi" w:eastAsia="Arial" w:hAnsiTheme="majorHAnsi" w:cstheme="majorHAnsi"/>
          <w:i/>
          <w:iCs/>
          <w:sz w:val="20"/>
          <w:szCs w:val="20"/>
          <w:lang w:val="de-DE"/>
        </w:rPr>
      </w:pPr>
      <w:r>
        <w:rPr>
          <w:rFonts w:asciiTheme="majorHAnsi" w:eastAsia="Arial" w:hAnsiTheme="majorHAnsi" w:cstheme="majorHAnsi"/>
          <w:i/>
          <w:iCs/>
          <w:sz w:val="20"/>
          <w:szCs w:val="20"/>
          <w:lang w:val="de-DE"/>
        </w:rPr>
        <w:t>Eine Auswahl weitere Bildmotive bietet Ihnen unser Bildarchiv zu dieser Presse-Information:</w:t>
      </w:r>
      <w:r>
        <w:rPr>
          <w:rFonts w:asciiTheme="majorHAnsi" w:eastAsia="Arial" w:hAnsiTheme="majorHAnsi" w:cstheme="majorHAnsi"/>
          <w:i/>
          <w:iCs/>
          <w:sz w:val="20"/>
          <w:szCs w:val="20"/>
          <w:lang w:val="de-DE"/>
        </w:rPr>
        <w:br/>
      </w:r>
      <w:hyperlink r:id="rId15" w:history="1">
        <w:proofErr w:type="spellStart"/>
        <w:r w:rsidRPr="0009732C">
          <w:rPr>
            <w:rFonts w:asciiTheme="majorHAnsi" w:eastAsia="Arial" w:hAnsiTheme="majorHAnsi" w:cstheme="majorHAnsi"/>
            <w:i/>
            <w:iCs/>
            <w:color w:val="1F497D" w:themeColor="text2"/>
            <w:sz w:val="20"/>
            <w:szCs w:val="20"/>
            <w:u w:val="single"/>
          </w:rPr>
          <w:t>Bildarchiv</w:t>
        </w:r>
        <w:proofErr w:type="spellEnd"/>
      </w:hyperlink>
      <w:r w:rsidRPr="0009732C">
        <w:rPr>
          <w:rFonts w:asciiTheme="majorHAnsi" w:eastAsia="Arial" w:hAnsiTheme="majorHAnsi" w:cstheme="majorHAnsi"/>
          <w:i/>
          <w:iCs/>
          <w:color w:val="1F497D" w:themeColor="text2"/>
          <w:sz w:val="20"/>
          <w:szCs w:val="20"/>
          <w:lang w:val="de-DE"/>
        </w:rPr>
        <w:t xml:space="preserve"> </w:t>
      </w:r>
    </w:p>
    <w:p w14:paraId="685EE531" w14:textId="3F946C25" w:rsidR="0009732C" w:rsidRDefault="0009732C" w:rsidP="00385348">
      <w:pPr>
        <w:spacing w:after="0" w:line="360" w:lineRule="auto"/>
        <w:rPr>
          <w:rFonts w:asciiTheme="majorHAnsi" w:eastAsia="Arial" w:hAnsiTheme="majorHAnsi" w:cstheme="majorHAnsi"/>
          <w:i/>
          <w:iCs/>
          <w:sz w:val="20"/>
          <w:szCs w:val="20"/>
          <w:lang w:val="de-DE"/>
        </w:rPr>
      </w:pPr>
    </w:p>
    <w:p w14:paraId="021FB43F" w14:textId="77777777" w:rsidR="00522171" w:rsidRDefault="00522171" w:rsidP="00385348">
      <w:pPr>
        <w:spacing w:after="0" w:line="360" w:lineRule="auto"/>
        <w:rPr>
          <w:rFonts w:asciiTheme="majorHAnsi" w:eastAsia="Arial" w:hAnsiTheme="majorHAnsi" w:cstheme="majorHAnsi"/>
          <w:i/>
          <w:iCs/>
          <w:sz w:val="20"/>
          <w:szCs w:val="20"/>
          <w:lang w:val="de-DE"/>
        </w:rPr>
      </w:pPr>
    </w:p>
    <w:p w14:paraId="17443CE9" w14:textId="0C20E32D" w:rsidR="001300B3" w:rsidRDefault="001300B3">
      <w:pPr>
        <w:rPr>
          <w:rFonts w:asciiTheme="majorHAnsi" w:eastAsia="Arial" w:hAnsiTheme="majorHAnsi" w:cstheme="majorHAnsi"/>
          <w:lang w:val="de-DE"/>
        </w:rPr>
      </w:pPr>
      <w:r>
        <w:rPr>
          <w:rFonts w:asciiTheme="majorHAnsi" w:eastAsia="Arial" w:hAnsiTheme="majorHAnsi" w:cstheme="majorHAnsi"/>
          <w:lang w:val="de-DE"/>
        </w:rPr>
        <w:br w:type="page"/>
      </w:r>
    </w:p>
    <w:p w14:paraId="1F929294" w14:textId="77777777" w:rsidR="00522171" w:rsidRPr="001300B3" w:rsidRDefault="00522171" w:rsidP="00522171">
      <w:pPr>
        <w:rPr>
          <w:rFonts w:asciiTheme="majorHAnsi" w:eastAsia="Arial" w:hAnsiTheme="majorHAnsi" w:cstheme="majorHAnsi"/>
          <w:lang w:val="de-DE"/>
        </w:rPr>
      </w:pPr>
    </w:p>
    <w:p w14:paraId="0AF59940" w14:textId="550E0757" w:rsidR="0030001D" w:rsidRPr="001300B3" w:rsidRDefault="00522171" w:rsidP="00522171">
      <w:pPr>
        <w:rPr>
          <w:rFonts w:asciiTheme="majorHAnsi" w:eastAsia="Arial" w:hAnsiTheme="majorHAnsi" w:cstheme="majorHAnsi"/>
          <w:lang w:val="de-DE"/>
        </w:rPr>
      </w:pPr>
      <w:r w:rsidRPr="001300B3">
        <w:rPr>
          <w:rFonts w:asciiTheme="majorHAnsi" w:eastAsia="Arial" w:hAnsiTheme="majorHAnsi" w:cstheme="majorHAnsi"/>
          <w:lang w:val="de-DE"/>
        </w:rPr>
        <w:t>Ü</w:t>
      </w:r>
      <w:r w:rsidR="006636B2" w:rsidRPr="001300B3">
        <w:rPr>
          <w:rFonts w:asciiTheme="majorHAnsi" w:eastAsia="Arial" w:hAnsiTheme="majorHAnsi" w:cstheme="majorHAnsi"/>
          <w:b/>
          <w:bCs/>
          <w:lang w:val="de-DE"/>
        </w:rPr>
        <w:t>ber Briggs &amp; Stratton:</w:t>
      </w:r>
    </w:p>
    <w:p w14:paraId="02E2C4F3" w14:textId="160F6E01" w:rsidR="00E12ECA" w:rsidRDefault="006636B2" w:rsidP="00BD7D70">
      <w:pPr>
        <w:spacing w:after="0" w:line="360" w:lineRule="auto"/>
        <w:rPr>
          <w:rFonts w:asciiTheme="majorHAnsi" w:eastAsia="Arial" w:hAnsiTheme="majorHAnsi" w:cstheme="majorHAnsi"/>
          <w:lang w:val="de-DE"/>
        </w:rPr>
      </w:pPr>
      <w:r w:rsidRPr="00813415">
        <w:rPr>
          <w:rFonts w:asciiTheme="majorHAnsi" w:eastAsia="Arial" w:hAnsiTheme="majorHAnsi" w:cstheme="majorHAnsi"/>
          <w:lang w:val="de-DE"/>
        </w:rPr>
        <w:t xml:space="preserve">Briggs &amp; Stratton mit Hauptsitz in Milwaukee, Wisconsin, ist darauf ausgerichtet, </w:t>
      </w:r>
      <w:r w:rsidR="003122E1" w:rsidRPr="00813415">
        <w:rPr>
          <w:rFonts w:asciiTheme="majorHAnsi" w:eastAsia="Arial" w:hAnsiTheme="majorHAnsi" w:cstheme="majorHAnsi"/>
          <w:lang w:val="de-DE"/>
        </w:rPr>
        <w:t xml:space="preserve">Antriebstechnik für die unterschiedlichsten Aufgaben anzubieten </w:t>
      </w:r>
      <w:r w:rsidRPr="00813415">
        <w:rPr>
          <w:rFonts w:asciiTheme="majorHAnsi" w:eastAsia="Arial" w:hAnsiTheme="majorHAnsi" w:cstheme="majorHAnsi"/>
          <w:lang w:val="de-DE"/>
        </w:rPr>
        <w:t xml:space="preserve">und </w:t>
      </w:r>
      <w:r w:rsidR="003122E1" w:rsidRPr="00813415">
        <w:rPr>
          <w:rFonts w:asciiTheme="majorHAnsi" w:eastAsia="Arial" w:hAnsiTheme="majorHAnsi" w:cstheme="majorHAnsi"/>
          <w:lang w:val="de-DE"/>
        </w:rPr>
        <w:t xml:space="preserve">den Komfort für Anwender </w:t>
      </w:r>
      <w:r w:rsidRPr="00813415">
        <w:rPr>
          <w:rFonts w:asciiTheme="majorHAnsi" w:eastAsia="Arial" w:hAnsiTheme="majorHAnsi" w:cstheme="majorHAnsi"/>
          <w:lang w:val="de-DE"/>
        </w:rPr>
        <w:t xml:space="preserve">zu verbessern. Briggs &amp; Stratton ist der weltweit größte Hersteller von Benzinmotoren für motorisierte Gartengeräte und ein führender Entwickler, Hersteller und Vermarkter von </w:t>
      </w:r>
      <w:r w:rsidRPr="00813415">
        <w:rPr>
          <w:rFonts w:asciiTheme="majorHAnsi" w:eastAsia="Arial" w:hAnsiTheme="majorHAnsi" w:cstheme="majorHAnsi"/>
          <w:highlight w:val="white"/>
          <w:lang w:val="de-DE"/>
        </w:rPr>
        <w:t xml:space="preserve">Lithium-Ionen-Batterien, </w:t>
      </w:r>
      <w:r w:rsidRPr="00813415">
        <w:rPr>
          <w:rFonts w:asciiTheme="majorHAnsi" w:eastAsia="Arial" w:hAnsiTheme="majorHAnsi" w:cstheme="majorHAnsi"/>
          <w:lang w:val="de-DE"/>
        </w:rPr>
        <w:t xml:space="preserve">Stromerzeugungs-, Hochdruckreiniger-, Rasen- und Garten-, Rasenpflege- und Baustellenprodukten. Zu seinen Marken zählen </w:t>
      </w:r>
      <w:r w:rsidR="00191563" w:rsidRPr="00191563">
        <w:rPr>
          <w:rFonts w:asciiTheme="majorHAnsi" w:eastAsia="Arial" w:hAnsiTheme="majorHAnsi" w:cstheme="majorHAnsi"/>
          <w:lang w:val="de-DE"/>
        </w:rPr>
        <w:t xml:space="preserve">Briggs &amp; Stratton®, Vanguard®, Ferris®, </w:t>
      </w:r>
      <w:proofErr w:type="spellStart"/>
      <w:r w:rsidR="00191563" w:rsidRPr="00191563">
        <w:rPr>
          <w:rFonts w:asciiTheme="majorHAnsi" w:eastAsia="Arial" w:hAnsiTheme="majorHAnsi" w:cstheme="majorHAnsi"/>
          <w:lang w:val="de-DE"/>
        </w:rPr>
        <w:t>Simplicity</w:t>
      </w:r>
      <w:proofErr w:type="spellEnd"/>
      <w:r w:rsidR="00191563" w:rsidRPr="00191563">
        <w:rPr>
          <w:rFonts w:asciiTheme="majorHAnsi" w:eastAsia="Arial" w:hAnsiTheme="majorHAnsi" w:cstheme="majorHAnsi"/>
          <w:lang w:val="de-DE"/>
        </w:rPr>
        <w:t xml:space="preserve">®, Snapper®, Billy Goat®, </w:t>
      </w:r>
      <w:proofErr w:type="spellStart"/>
      <w:r w:rsidR="00191563" w:rsidRPr="00191563">
        <w:rPr>
          <w:rFonts w:asciiTheme="majorHAnsi" w:eastAsia="Arial" w:hAnsiTheme="majorHAnsi" w:cstheme="majorHAnsi"/>
          <w:lang w:val="de-DE"/>
        </w:rPr>
        <w:t>Allmand</w:t>
      </w:r>
      <w:proofErr w:type="spellEnd"/>
      <w:r w:rsidR="00191563" w:rsidRPr="00191563">
        <w:rPr>
          <w:rFonts w:asciiTheme="majorHAnsi" w:eastAsia="Arial" w:hAnsiTheme="majorHAnsi" w:cstheme="majorHAnsi"/>
          <w:lang w:val="de-DE"/>
        </w:rPr>
        <w:t xml:space="preserve">®, Branco® </w:t>
      </w:r>
      <w:r w:rsidR="00191563">
        <w:rPr>
          <w:rFonts w:asciiTheme="majorHAnsi" w:eastAsia="Arial" w:hAnsiTheme="majorHAnsi" w:cstheme="majorHAnsi"/>
          <w:lang w:val="de-DE"/>
        </w:rPr>
        <w:t>und</w:t>
      </w:r>
      <w:r w:rsidR="00191563" w:rsidRPr="00191563">
        <w:rPr>
          <w:rFonts w:asciiTheme="majorHAnsi" w:eastAsia="Arial" w:hAnsiTheme="majorHAnsi" w:cstheme="majorHAnsi"/>
          <w:lang w:val="de-DE"/>
        </w:rPr>
        <w:t xml:space="preserve"> </w:t>
      </w:r>
      <w:proofErr w:type="spellStart"/>
      <w:r w:rsidR="00191563" w:rsidRPr="00191563">
        <w:rPr>
          <w:rFonts w:asciiTheme="majorHAnsi" w:eastAsia="Arial" w:hAnsiTheme="majorHAnsi" w:cstheme="majorHAnsi"/>
          <w:lang w:val="de-DE"/>
        </w:rPr>
        <w:t>Victa</w:t>
      </w:r>
      <w:proofErr w:type="spellEnd"/>
      <w:r w:rsidR="00191563" w:rsidRPr="00191563">
        <w:rPr>
          <w:rFonts w:asciiTheme="majorHAnsi" w:eastAsia="Arial" w:hAnsiTheme="majorHAnsi" w:cstheme="majorHAnsi"/>
          <w:lang w:val="de-DE"/>
        </w:rPr>
        <w:t>®.</w:t>
      </w:r>
      <w:r w:rsidR="00191563">
        <w:rPr>
          <w:rFonts w:asciiTheme="majorHAnsi" w:eastAsia="Arial" w:hAnsiTheme="majorHAnsi" w:cstheme="majorHAnsi"/>
          <w:lang w:val="de-DE"/>
        </w:rPr>
        <w:t xml:space="preserve"> Produkte von </w:t>
      </w:r>
      <w:r w:rsidRPr="00813415">
        <w:rPr>
          <w:rFonts w:asciiTheme="majorHAnsi" w:eastAsia="Arial" w:hAnsiTheme="majorHAnsi" w:cstheme="majorHAnsi"/>
          <w:lang w:val="de-DE"/>
        </w:rPr>
        <w:t>Briggs &amp; Stratton werden in über 100 Ländern auf sechs Kontinenten entwickelt, hergestellt, vermarktet und gewartet. Weitere Informationen finden Sie unter www.briggsandstratton.com.</w:t>
      </w:r>
      <w:r w:rsidR="00195BC4">
        <w:rPr>
          <w:rFonts w:asciiTheme="majorHAnsi" w:eastAsia="Arial" w:hAnsiTheme="majorHAnsi" w:cstheme="majorHAnsi"/>
          <w:lang w:val="de-DE"/>
        </w:rPr>
        <w:t xml:space="preserve"> </w:t>
      </w:r>
    </w:p>
    <w:p w14:paraId="0DBCDDF3" w14:textId="77777777" w:rsidR="0009732C" w:rsidRDefault="0009732C" w:rsidP="00BD7D70">
      <w:pPr>
        <w:spacing w:after="0" w:line="360" w:lineRule="auto"/>
        <w:rPr>
          <w:rFonts w:asciiTheme="majorHAnsi" w:eastAsia="Arial" w:hAnsiTheme="majorHAnsi" w:cstheme="majorHAnsi"/>
          <w:lang w:val="de-DE"/>
        </w:rPr>
      </w:pPr>
    </w:p>
    <w:p w14:paraId="074FB368" w14:textId="77777777" w:rsidR="0009732C" w:rsidRPr="00813415" w:rsidRDefault="0009732C" w:rsidP="00BD7D70">
      <w:pPr>
        <w:spacing w:after="0" w:line="360" w:lineRule="auto"/>
        <w:rPr>
          <w:rFonts w:asciiTheme="majorHAnsi" w:eastAsia="Arial" w:hAnsiTheme="majorHAnsi" w:cstheme="majorHAnsi"/>
          <w:lang w:val="de-DE"/>
        </w:rPr>
      </w:pPr>
    </w:p>
    <w:sectPr w:rsidR="0009732C" w:rsidRPr="00813415" w:rsidSect="00B144DF">
      <w:headerReference w:type="default" r:id="rId16"/>
      <w:type w:val="continuous"/>
      <w:pgSz w:w="12240" w:h="15840"/>
      <w:pgMar w:top="2694" w:right="2459"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44E38" w14:textId="77777777" w:rsidR="0016100D" w:rsidRDefault="0016100D">
      <w:pPr>
        <w:spacing w:after="0" w:line="240" w:lineRule="auto"/>
      </w:pPr>
      <w:r>
        <w:separator/>
      </w:r>
    </w:p>
  </w:endnote>
  <w:endnote w:type="continuationSeparator" w:id="0">
    <w:p w14:paraId="6294629D" w14:textId="77777777" w:rsidR="0016100D" w:rsidRDefault="0016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01375" w14:textId="77777777" w:rsidR="0016100D" w:rsidRDefault="0016100D">
      <w:pPr>
        <w:spacing w:after="0" w:line="240" w:lineRule="auto"/>
      </w:pPr>
      <w:r>
        <w:separator/>
      </w:r>
    </w:p>
  </w:footnote>
  <w:footnote w:type="continuationSeparator" w:id="0">
    <w:p w14:paraId="7977F8DC" w14:textId="77777777" w:rsidR="0016100D" w:rsidRDefault="00161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380DE" w14:textId="77777777" w:rsidR="0009732C" w:rsidRDefault="0009732C">
    <w:pPr>
      <w:pStyle w:val="Kopfzeile"/>
    </w:pPr>
    <w:r>
      <w:rPr>
        <w:noProof/>
        <w:lang w:val="de-DE" w:eastAsia="de-DE"/>
      </w:rPr>
      <w:drawing>
        <wp:inline distT="0" distB="0" distL="0" distR="0" wp14:anchorId="4037E0AA" wp14:editId="3AB2C102">
          <wp:extent cx="5975371" cy="835025"/>
          <wp:effectExtent l="0" t="0" r="6350" b="3175"/>
          <wp:docPr id="2003230850" name="Grafik 200323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962" cy="8353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E852" w14:textId="0628A63C" w:rsidR="00305B36" w:rsidRDefault="00FE03AC">
    <w:pPr>
      <w:pStyle w:val="Kopfzeile"/>
    </w:pPr>
    <w:r>
      <w:rPr>
        <w:noProof/>
        <w:lang w:val="de-DE" w:eastAsia="de-DE"/>
      </w:rPr>
      <w:drawing>
        <wp:inline distT="0" distB="0" distL="0" distR="0" wp14:anchorId="032B9A44" wp14:editId="694138B0">
          <wp:extent cx="5975371" cy="835025"/>
          <wp:effectExtent l="0" t="0" r="635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962" cy="8353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01C8"/>
    <w:multiLevelType w:val="hybridMultilevel"/>
    <w:tmpl w:val="2CA2A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350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D"/>
    <w:rsid w:val="00002AFA"/>
    <w:rsid w:val="00013B7B"/>
    <w:rsid w:val="00013C8A"/>
    <w:rsid w:val="00017E2C"/>
    <w:rsid w:val="00021E93"/>
    <w:rsid w:val="00023621"/>
    <w:rsid w:val="00030ED9"/>
    <w:rsid w:val="000406E3"/>
    <w:rsid w:val="00040C2C"/>
    <w:rsid w:val="00047127"/>
    <w:rsid w:val="00050A0C"/>
    <w:rsid w:val="00053833"/>
    <w:rsid w:val="00057541"/>
    <w:rsid w:val="00067377"/>
    <w:rsid w:val="000709C9"/>
    <w:rsid w:val="000747F8"/>
    <w:rsid w:val="00090003"/>
    <w:rsid w:val="00092D0A"/>
    <w:rsid w:val="0009732C"/>
    <w:rsid w:val="00097FD0"/>
    <w:rsid w:val="000A2753"/>
    <w:rsid w:val="000A787B"/>
    <w:rsid w:val="000B4012"/>
    <w:rsid w:val="000C1C1B"/>
    <w:rsid w:val="000C5C68"/>
    <w:rsid w:val="000D1B24"/>
    <w:rsid w:val="000D1B64"/>
    <w:rsid w:val="000D4A64"/>
    <w:rsid w:val="000D50C7"/>
    <w:rsid w:val="000D6940"/>
    <w:rsid w:val="000E754C"/>
    <w:rsid w:val="000E7620"/>
    <w:rsid w:val="000F2C6C"/>
    <w:rsid w:val="000F7696"/>
    <w:rsid w:val="00107F54"/>
    <w:rsid w:val="00114FF5"/>
    <w:rsid w:val="001300B3"/>
    <w:rsid w:val="001429D3"/>
    <w:rsid w:val="00142A1D"/>
    <w:rsid w:val="0016100D"/>
    <w:rsid w:val="00164121"/>
    <w:rsid w:val="00173A14"/>
    <w:rsid w:val="001770ED"/>
    <w:rsid w:val="00186E53"/>
    <w:rsid w:val="00191563"/>
    <w:rsid w:val="00195633"/>
    <w:rsid w:val="00195BC4"/>
    <w:rsid w:val="001A2148"/>
    <w:rsid w:val="001B1766"/>
    <w:rsid w:val="001B6FE9"/>
    <w:rsid w:val="001B7B5C"/>
    <w:rsid w:val="001C181D"/>
    <w:rsid w:val="001C3D24"/>
    <w:rsid w:val="001D6997"/>
    <w:rsid w:val="001E37EC"/>
    <w:rsid w:val="001F12DF"/>
    <w:rsid w:val="001F4409"/>
    <w:rsid w:val="0020007F"/>
    <w:rsid w:val="00200FDA"/>
    <w:rsid w:val="0020151D"/>
    <w:rsid w:val="00202382"/>
    <w:rsid w:val="0021667C"/>
    <w:rsid w:val="00220083"/>
    <w:rsid w:val="002226AE"/>
    <w:rsid w:val="00222A6C"/>
    <w:rsid w:val="00223473"/>
    <w:rsid w:val="002235A3"/>
    <w:rsid w:val="00224134"/>
    <w:rsid w:val="002268DC"/>
    <w:rsid w:val="00235006"/>
    <w:rsid w:val="00236BEA"/>
    <w:rsid w:val="00243A3F"/>
    <w:rsid w:val="00257868"/>
    <w:rsid w:val="00260AF4"/>
    <w:rsid w:val="00272DBF"/>
    <w:rsid w:val="0027767F"/>
    <w:rsid w:val="00282123"/>
    <w:rsid w:val="0029533A"/>
    <w:rsid w:val="002A1E49"/>
    <w:rsid w:val="002A4644"/>
    <w:rsid w:val="002D0462"/>
    <w:rsid w:val="002D329F"/>
    <w:rsid w:val="002F2644"/>
    <w:rsid w:val="002F7943"/>
    <w:rsid w:val="0030001D"/>
    <w:rsid w:val="00305B36"/>
    <w:rsid w:val="0030656F"/>
    <w:rsid w:val="003122E1"/>
    <w:rsid w:val="00317B2A"/>
    <w:rsid w:val="003220ED"/>
    <w:rsid w:val="00335F28"/>
    <w:rsid w:val="0034112E"/>
    <w:rsid w:val="003437E3"/>
    <w:rsid w:val="00346CBC"/>
    <w:rsid w:val="003472DB"/>
    <w:rsid w:val="0035066D"/>
    <w:rsid w:val="003540D3"/>
    <w:rsid w:val="00360406"/>
    <w:rsid w:val="003604B8"/>
    <w:rsid w:val="00371190"/>
    <w:rsid w:val="00382C52"/>
    <w:rsid w:val="00385348"/>
    <w:rsid w:val="00387708"/>
    <w:rsid w:val="0039342F"/>
    <w:rsid w:val="003955B6"/>
    <w:rsid w:val="003A6C82"/>
    <w:rsid w:val="003B5267"/>
    <w:rsid w:val="003C0CD6"/>
    <w:rsid w:val="003C1E89"/>
    <w:rsid w:val="003C6220"/>
    <w:rsid w:val="003C6B5C"/>
    <w:rsid w:val="003D05A4"/>
    <w:rsid w:val="003E31F4"/>
    <w:rsid w:val="003E3447"/>
    <w:rsid w:val="00405AFE"/>
    <w:rsid w:val="004213E9"/>
    <w:rsid w:val="00430889"/>
    <w:rsid w:val="00453558"/>
    <w:rsid w:val="004660F5"/>
    <w:rsid w:val="0047297B"/>
    <w:rsid w:val="004768B7"/>
    <w:rsid w:val="00480705"/>
    <w:rsid w:val="00485E5A"/>
    <w:rsid w:val="0049171F"/>
    <w:rsid w:val="00493B1C"/>
    <w:rsid w:val="0049455A"/>
    <w:rsid w:val="00496E53"/>
    <w:rsid w:val="004A4CA6"/>
    <w:rsid w:val="004B7A07"/>
    <w:rsid w:val="004C4C07"/>
    <w:rsid w:val="004E0BC4"/>
    <w:rsid w:val="00504B5B"/>
    <w:rsid w:val="005118CC"/>
    <w:rsid w:val="00522171"/>
    <w:rsid w:val="00525F1A"/>
    <w:rsid w:val="005509C8"/>
    <w:rsid w:val="005564F5"/>
    <w:rsid w:val="005721FA"/>
    <w:rsid w:val="005752C6"/>
    <w:rsid w:val="00577207"/>
    <w:rsid w:val="0058758D"/>
    <w:rsid w:val="00590CEA"/>
    <w:rsid w:val="0059379A"/>
    <w:rsid w:val="005969DB"/>
    <w:rsid w:val="005A5D6B"/>
    <w:rsid w:val="005B0B23"/>
    <w:rsid w:val="005B0B9B"/>
    <w:rsid w:val="005B166D"/>
    <w:rsid w:val="005B397C"/>
    <w:rsid w:val="005B4AF9"/>
    <w:rsid w:val="005B5F71"/>
    <w:rsid w:val="005C02F8"/>
    <w:rsid w:val="005C0BF2"/>
    <w:rsid w:val="005C1E95"/>
    <w:rsid w:val="005C77C6"/>
    <w:rsid w:val="005D049C"/>
    <w:rsid w:val="005D0684"/>
    <w:rsid w:val="005D1BA2"/>
    <w:rsid w:val="005D24AE"/>
    <w:rsid w:val="005D35EF"/>
    <w:rsid w:val="005E6693"/>
    <w:rsid w:val="0060258B"/>
    <w:rsid w:val="00607DA2"/>
    <w:rsid w:val="0062141F"/>
    <w:rsid w:val="00630733"/>
    <w:rsid w:val="00631484"/>
    <w:rsid w:val="00635A82"/>
    <w:rsid w:val="00637B29"/>
    <w:rsid w:val="00644B0B"/>
    <w:rsid w:val="00647954"/>
    <w:rsid w:val="006636B2"/>
    <w:rsid w:val="00684AF6"/>
    <w:rsid w:val="0069571A"/>
    <w:rsid w:val="00697A26"/>
    <w:rsid w:val="006A1D25"/>
    <w:rsid w:val="006B07C4"/>
    <w:rsid w:val="006B3C9B"/>
    <w:rsid w:val="006C2146"/>
    <w:rsid w:val="006D5F04"/>
    <w:rsid w:val="006D7B82"/>
    <w:rsid w:val="006E6F36"/>
    <w:rsid w:val="006F55B8"/>
    <w:rsid w:val="00701669"/>
    <w:rsid w:val="007043C1"/>
    <w:rsid w:val="00732B56"/>
    <w:rsid w:val="00732EDE"/>
    <w:rsid w:val="00743629"/>
    <w:rsid w:val="00755EE1"/>
    <w:rsid w:val="00761468"/>
    <w:rsid w:val="00777545"/>
    <w:rsid w:val="00783F24"/>
    <w:rsid w:val="007A3F83"/>
    <w:rsid w:val="007C2596"/>
    <w:rsid w:val="007C478F"/>
    <w:rsid w:val="007D0643"/>
    <w:rsid w:val="007D144D"/>
    <w:rsid w:val="007F5507"/>
    <w:rsid w:val="00801EF8"/>
    <w:rsid w:val="0080618C"/>
    <w:rsid w:val="00813415"/>
    <w:rsid w:val="008345DB"/>
    <w:rsid w:val="008665C7"/>
    <w:rsid w:val="00870C5B"/>
    <w:rsid w:val="008802E3"/>
    <w:rsid w:val="00884B3A"/>
    <w:rsid w:val="00885D63"/>
    <w:rsid w:val="00894984"/>
    <w:rsid w:val="00894D9D"/>
    <w:rsid w:val="008A1015"/>
    <w:rsid w:val="008B071B"/>
    <w:rsid w:val="008B3A3D"/>
    <w:rsid w:val="008E0E2A"/>
    <w:rsid w:val="008E1BB1"/>
    <w:rsid w:val="008E4CAE"/>
    <w:rsid w:val="008E5BA9"/>
    <w:rsid w:val="008F0DEE"/>
    <w:rsid w:val="008F1DB2"/>
    <w:rsid w:val="00905FC0"/>
    <w:rsid w:val="00910CA1"/>
    <w:rsid w:val="009122F3"/>
    <w:rsid w:val="00912F24"/>
    <w:rsid w:val="0091726B"/>
    <w:rsid w:val="00940330"/>
    <w:rsid w:val="00942B7F"/>
    <w:rsid w:val="00944492"/>
    <w:rsid w:val="00953D88"/>
    <w:rsid w:val="00955486"/>
    <w:rsid w:val="009643E6"/>
    <w:rsid w:val="0097662B"/>
    <w:rsid w:val="0098486F"/>
    <w:rsid w:val="009852BD"/>
    <w:rsid w:val="0099137D"/>
    <w:rsid w:val="009934F1"/>
    <w:rsid w:val="009A4481"/>
    <w:rsid w:val="009A5046"/>
    <w:rsid w:val="009D3FFB"/>
    <w:rsid w:val="009D7010"/>
    <w:rsid w:val="009F2D70"/>
    <w:rsid w:val="009F4653"/>
    <w:rsid w:val="00A052B4"/>
    <w:rsid w:val="00A05AC8"/>
    <w:rsid w:val="00A12B48"/>
    <w:rsid w:val="00A20E68"/>
    <w:rsid w:val="00A23FA0"/>
    <w:rsid w:val="00A255C5"/>
    <w:rsid w:val="00A31E3A"/>
    <w:rsid w:val="00A53927"/>
    <w:rsid w:val="00A555F4"/>
    <w:rsid w:val="00A65FE8"/>
    <w:rsid w:val="00A7009B"/>
    <w:rsid w:val="00A76FE8"/>
    <w:rsid w:val="00AA605C"/>
    <w:rsid w:val="00AB0D53"/>
    <w:rsid w:val="00AB0EAD"/>
    <w:rsid w:val="00AB16A8"/>
    <w:rsid w:val="00AB3CA2"/>
    <w:rsid w:val="00AC14E0"/>
    <w:rsid w:val="00AC389F"/>
    <w:rsid w:val="00AD1AE5"/>
    <w:rsid w:val="00AE50A2"/>
    <w:rsid w:val="00AE7059"/>
    <w:rsid w:val="00AF5974"/>
    <w:rsid w:val="00AF6E4D"/>
    <w:rsid w:val="00B01137"/>
    <w:rsid w:val="00B064F3"/>
    <w:rsid w:val="00B105D3"/>
    <w:rsid w:val="00B12011"/>
    <w:rsid w:val="00B144DF"/>
    <w:rsid w:val="00B14A5C"/>
    <w:rsid w:val="00B16588"/>
    <w:rsid w:val="00B21129"/>
    <w:rsid w:val="00B33313"/>
    <w:rsid w:val="00B33A4F"/>
    <w:rsid w:val="00B46614"/>
    <w:rsid w:val="00B5131A"/>
    <w:rsid w:val="00B51DF1"/>
    <w:rsid w:val="00B64344"/>
    <w:rsid w:val="00B721BB"/>
    <w:rsid w:val="00B72B40"/>
    <w:rsid w:val="00B75E3F"/>
    <w:rsid w:val="00B831B2"/>
    <w:rsid w:val="00B832E7"/>
    <w:rsid w:val="00B904F6"/>
    <w:rsid w:val="00BA246A"/>
    <w:rsid w:val="00BB0EAA"/>
    <w:rsid w:val="00BC4A60"/>
    <w:rsid w:val="00BC7406"/>
    <w:rsid w:val="00BD1192"/>
    <w:rsid w:val="00BD61B1"/>
    <w:rsid w:val="00BD7D70"/>
    <w:rsid w:val="00BE2582"/>
    <w:rsid w:val="00BE73F4"/>
    <w:rsid w:val="00BF3F2B"/>
    <w:rsid w:val="00BF5109"/>
    <w:rsid w:val="00C00ED0"/>
    <w:rsid w:val="00C04AD7"/>
    <w:rsid w:val="00C101B1"/>
    <w:rsid w:val="00C11146"/>
    <w:rsid w:val="00C1127F"/>
    <w:rsid w:val="00C2135A"/>
    <w:rsid w:val="00C27F42"/>
    <w:rsid w:val="00C440D7"/>
    <w:rsid w:val="00C45F7E"/>
    <w:rsid w:val="00C60E33"/>
    <w:rsid w:val="00C720EE"/>
    <w:rsid w:val="00C734E7"/>
    <w:rsid w:val="00C760E5"/>
    <w:rsid w:val="00C7786F"/>
    <w:rsid w:val="00C811B5"/>
    <w:rsid w:val="00C81C2C"/>
    <w:rsid w:val="00C91D84"/>
    <w:rsid w:val="00C94A9D"/>
    <w:rsid w:val="00CB319C"/>
    <w:rsid w:val="00CB5627"/>
    <w:rsid w:val="00CE2D02"/>
    <w:rsid w:val="00CE7925"/>
    <w:rsid w:val="00CF2FB7"/>
    <w:rsid w:val="00CF4667"/>
    <w:rsid w:val="00D00DDB"/>
    <w:rsid w:val="00D142C7"/>
    <w:rsid w:val="00D32E6B"/>
    <w:rsid w:val="00D40DCB"/>
    <w:rsid w:val="00D47A2A"/>
    <w:rsid w:val="00D5390F"/>
    <w:rsid w:val="00D56BA9"/>
    <w:rsid w:val="00D575F7"/>
    <w:rsid w:val="00D6129B"/>
    <w:rsid w:val="00D6549F"/>
    <w:rsid w:val="00D7151B"/>
    <w:rsid w:val="00D757D8"/>
    <w:rsid w:val="00D87508"/>
    <w:rsid w:val="00D924FD"/>
    <w:rsid w:val="00DA4226"/>
    <w:rsid w:val="00DB2B49"/>
    <w:rsid w:val="00DC000A"/>
    <w:rsid w:val="00DC6417"/>
    <w:rsid w:val="00DD0793"/>
    <w:rsid w:val="00DD7CB2"/>
    <w:rsid w:val="00DE1E8A"/>
    <w:rsid w:val="00DE4347"/>
    <w:rsid w:val="00DF1167"/>
    <w:rsid w:val="00DF315A"/>
    <w:rsid w:val="00E035C8"/>
    <w:rsid w:val="00E0644D"/>
    <w:rsid w:val="00E06BA9"/>
    <w:rsid w:val="00E12AAF"/>
    <w:rsid w:val="00E12BE0"/>
    <w:rsid w:val="00E12ECA"/>
    <w:rsid w:val="00E17E36"/>
    <w:rsid w:val="00E2067E"/>
    <w:rsid w:val="00E26931"/>
    <w:rsid w:val="00E30AFB"/>
    <w:rsid w:val="00E3632B"/>
    <w:rsid w:val="00E56024"/>
    <w:rsid w:val="00E5755D"/>
    <w:rsid w:val="00E643D1"/>
    <w:rsid w:val="00E74E62"/>
    <w:rsid w:val="00EB7229"/>
    <w:rsid w:val="00EC31C3"/>
    <w:rsid w:val="00ED3311"/>
    <w:rsid w:val="00ED51EE"/>
    <w:rsid w:val="00ED5906"/>
    <w:rsid w:val="00EF5DC7"/>
    <w:rsid w:val="00F00C46"/>
    <w:rsid w:val="00F1334E"/>
    <w:rsid w:val="00F2167B"/>
    <w:rsid w:val="00F250CB"/>
    <w:rsid w:val="00F257F7"/>
    <w:rsid w:val="00F26EAA"/>
    <w:rsid w:val="00F30137"/>
    <w:rsid w:val="00F330EA"/>
    <w:rsid w:val="00F3324C"/>
    <w:rsid w:val="00F33F10"/>
    <w:rsid w:val="00F34C25"/>
    <w:rsid w:val="00F419C0"/>
    <w:rsid w:val="00F5185A"/>
    <w:rsid w:val="00F54458"/>
    <w:rsid w:val="00F70E04"/>
    <w:rsid w:val="00F7564D"/>
    <w:rsid w:val="00F77098"/>
    <w:rsid w:val="00F778EA"/>
    <w:rsid w:val="00F80247"/>
    <w:rsid w:val="00F81322"/>
    <w:rsid w:val="00F8250C"/>
    <w:rsid w:val="00F8627F"/>
    <w:rsid w:val="00FA5B88"/>
    <w:rsid w:val="00FB0B79"/>
    <w:rsid w:val="00FC3DCD"/>
    <w:rsid w:val="00FD22C1"/>
    <w:rsid w:val="00FE03AC"/>
    <w:rsid w:val="00FE12C8"/>
    <w:rsid w:val="00FE5E1E"/>
    <w:rsid w:val="00FF1B6A"/>
    <w:rsid w:val="00FF6CB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B375"/>
  <w15:docId w15:val="{C9FA0B19-3B19-4706-89B7-BE16533C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506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5066D"/>
  </w:style>
  <w:style w:type="paragraph" w:styleId="Fuzeile">
    <w:name w:val="footer"/>
    <w:basedOn w:val="Standard"/>
    <w:link w:val="FuzeileZchn"/>
    <w:uiPriority w:val="99"/>
    <w:unhideWhenUsed/>
    <w:rsid w:val="0035066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5066D"/>
  </w:style>
  <w:style w:type="paragraph" w:styleId="StandardWeb">
    <w:name w:val="Normal (Web)"/>
    <w:basedOn w:val="Standard"/>
    <w:uiPriority w:val="99"/>
    <w:semiHidden/>
    <w:unhideWhenUsed/>
    <w:rsid w:val="00B46614"/>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BF5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109"/>
    <w:rPr>
      <w:sz w:val="20"/>
      <w:szCs w:val="20"/>
    </w:rPr>
  </w:style>
  <w:style w:type="character" w:styleId="Funotenzeichen">
    <w:name w:val="footnote reference"/>
    <w:basedOn w:val="Absatz-Standardschriftart"/>
    <w:uiPriority w:val="99"/>
    <w:semiHidden/>
    <w:unhideWhenUsed/>
    <w:rsid w:val="00BF5109"/>
    <w:rPr>
      <w:vertAlign w:val="superscript"/>
    </w:rPr>
  </w:style>
  <w:style w:type="paragraph" w:styleId="Sprechblasentext">
    <w:name w:val="Balloon Text"/>
    <w:basedOn w:val="Standard"/>
    <w:link w:val="SprechblasentextZchn"/>
    <w:uiPriority w:val="99"/>
    <w:semiHidden/>
    <w:unhideWhenUsed/>
    <w:rsid w:val="00BF51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109"/>
    <w:rPr>
      <w:rFonts w:ascii="Segoe UI" w:hAnsi="Segoe UI" w:cs="Segoe UI"/>
      <w:sz w:val="18"/>
      <w:szCs w:val="18"/>
    </w:rPr>
  </w:style>
  <w:style w:type="character" w:styleId="Hyperlink">
    <w:name w:val="Hyperlink"/>
    <w:basedOn w:val="Absatz-Standardschriftart"/>
    <w:uiPriority w:val="99"/>
    <w:unhideWhenUsed/>
    <w:rsid w:val="00BD61B1"/>
    <w:rPr>
      <w:color w:val="0000FF"/>
      <w:u w:val="single"/>
    </w:rPr>
  </w:style>
  <w:style w:type="character" w:customStyle="1" w:styleId="NichtaufgelsteErwhnung1">
    <w:name w:val="Nicht aufgelöste Erwähnung1"/>
    <w:basedOn w:val="Absatz-Standardschriftart"/>
    <w:uiPriority w:val="99"/>
    <w:semiHidden/>
    <w:unhideWhenUsed/>
    <w:rsid w:val="008E4CAE"/>
    <w:rPr>
      <w:color w:val="605E5C"/>
      <w:shd w:val="clear" w:color="auto" w:fill="E1DFDD"/>
    </w:rPr>
  </w:style>
  <w:style w:type="paragraph" w:styleId="Listenabsatz">
    <w:name w:val="List Paragraph"/>
    <w:basedOn w:val="Standard"/>
    <w:uiPriority w:val="34"/>
    <w:qFormat/>
    <w:rsid w:val="008E4CAE"/>
    <w:pPr>
      <w:ind w:left="720"/>
      <w:contextualSpacing/>
    </w:pPr>
  </w:style>
  <w:style w:type="character" w:styleId="Kommentarzeichen">
    <w:name w:val="annotation reference"/>
    <w:basedOn w:val="Absatz-Standardschriftart"/>
    <w:uiPriority w:val="99"/>
    <w:semiHidden/>
    <w:unhideWhenUsed/>
    <w:rsid w:val="005A5D6B"/>
    <w:rPr>
      <w:sz w:val="16"/>
      <w:szCs w:val="16"/>
    </w:rPr>
  </w:style>
  <w:style w:type="paragraph" w:styleId="Kommentartext">
    <w:name w:val="annotation text"/>
    <w:basedOn w:val="Standard"/>
    <w:link w:val="KommentartextZchn"/>
    <w:uiPriority w:val="99"/>
    <w:unhideWhenUsed/>
    <w:rsid w:val="005A5D6B"/>
    <w:pPr>
      <w:spacing w:line="240" w:lineRule="auto"/>
    </w:pPr>
    <w:rPr>
      <w:sz w:val="20"/>
      <w:szCs w:val="20"/>
    </w:rPr>
  </w:style>
  <w:style w:type="character" w:customStyle="1" w:styleId="KommentartextZchn">
    <w:name w:val="Kommentartext Zchn"/>
    <w:basedOn w:val="Absatz-Standardschriftart"/>
    <w:link w:val="Kommentartext"/>
    <w:uiPriority w:val="99"/>
    <w:rsid w:val="005A5D6B"/>
    <w:rPr>
      <w:sz w:val="20"/>
      <w:szCs w:val="20"/>
    </w:rPr>
  </w:style>
  <w:style w:type="paragraph" w:styleId="Kommentarthema">
    <w:name w:val="annotation subject"/>
    <w:basedOn w:val="Kommentartext"/>
    <w:next w:val="Kommentartext"/>
    <w:link w:val="KommentarthemaZchn"/>
    <w:uiPriority w:val="99"/>
    <w:semiHidden/>
    <w:unhideWhenUsed/>
    <w:rsid w:val="005A5D6B"/>
    <w:rPr>
      <w:b/>
      <w:bCs/>
    </w:rPr>
  </w:style>
  <w:style w:type="character" w:customStyle="1" w:styleId="KommentarthemaZchn">
    <w:name w:val="Kommentarthema Zchn"/>
    <w:basedOn w:val="KommentartextZchn"/>
    <w:link w:val="Kommentarthema"/>
    <w:uiPriority w:val="99"/>
    <w:semiHidden/>
    <w:rsid w:val="005A5D6B"/>
    <w:rPr>
      <w:b/>
      <w:bCs/>
      <w:sz w:val="20"/>
      <w:szCs w:val="20"/>
    </w:rPr>
  </w:style>
  <w:style w:type="paragraph" w:styleId="berarbeitung">
    <w:name w:val="Revision"/>
    <w:hidden/>
    <w:uiPriority w:val="99"/>
    <w:semiHidden/>
    <w:rsid w:val="008E5BA9"/>
    <w:pPr>
      <w:spacing w:after="0" w:line="240" w:lineRule="auto"/>
    </w:pPr>
  </w:style>
  <w:style w:type="character" w:customStyle="1" w:styleId="NichtaufgelsteErwhnung2">
    <w:name w:val="Nicht aufgelöste Erwähnung2"/>
    <w:basedOn w:val="Absatz-Standardschriftart"/>
    <w:uiPriority w:val="99"/>
    <w:semiHidden/>
    <w:unhideWhenUsed/>
    <w:rsid w:val="00631484"/>
    <w:rPr>
      <w:color w:val="605E5C"/>
      <w:shd w:val="clear" w:color="auto" w:fill="E1DFDD"/>
    </w:rPr>
  </w:style>
  <w:style w:type="paragraph" w:customStyle="1" w:styleId="Default">
    <w:name w:val="Default"/>
    <w:rsid w:val="00912F24"/>
    <w:pPr>
      <w:autoSpaceDE w:val="0"/>
      <w:autoSpaceDN w:val="0"/>
      <w:adjustRightInd w:val="0"/>
      <w:spacing w:after="0" w:line="240" w:lineRule="auto"/>
    </w:pPr>
    <w:rPr>
      <w:color w:val="000000"/>
      <w:sz w:val="24"/>
      <w:szCs w:val="24"/>
    </w:rPr>
  </w:style>
  <w:style w:type="character" w:styleId="NichtaufgelsteErwhnung">
    <w:name w:val="Unresolved Mention"/>
    <w:basedOn w:val="Absatz-Standardschriftart"/>
    <w:uiPriority w:val="99"/>
    <w:semiHidden/>
    <w:unhideWhenUsed/>
    <w:rsid w:val="00E3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3993">
      <w:bodyDiv w:val="1"/>
      <w:marLeft w:val="0"/>
      <w:marRight w:val="0"/>
      <w:marTop w:val="0"/>
      <w:marBottom w:val="0"/>
      <w:divBdr>
        <w:top w:val="none" w:sz="0" w:space="0" w:color="auto"/>
        <w:left w:val="none" w:sz="0" w:space="0" w:color="auto"/>
        <w:bottom w:val="none" w:sz="0" w:space="0" w:color="auto"/>
        <w:right w:val="none" w:sz="0" w:space="0" w:color="auto"/>
      </w:divBdr>
    </w:div>
    <w:div w:id="393478258">
      <w:bodyDiv w:val="1"/>
      <w:marLeft w:val="0"/>
      <w:marRight w:val="0"/>
      <w:marTop w:val="0"/>
      <w:marBottom w:val="0"/>
      <w:divBdr>
        <w:top w:val="none" w:sz="0" w:space="0" w:color="auto"/>
        <w:left w:val="none" w:sz="0" w:space="0" w:color="auto"/>
        <w:bottom w:val="none" w:sz="0" w:space="0" w:color="auto"/>
        <w:right w:val="none" w:sz="0" w:space="0" w:color="auto"/>
      </w:divBdr>
    </w:div>
    <w:div w:id="1791045230">
      <w:bodyDiv w:val="1"/>
      <w:marLeft w:val="0"/>
      <w:marRight w:val="0"/>
      <w:marTop w:val="0"/>
      <w:marBottom w:val="0"/>
      <w:divBdr>
        <w:top w:val="none" w:sz="0" w:space="0" w:color="auto"/>
        <w:left w:val="none" w:sz="0" w:space="0" w:color="auto"/>
        <w:bottom w:val="none" w:sz="0" w:space="0" w:color="auto"/>
        <w:right w:val="none" w:sz="0" w:space="0" w:color="auto"/>
      </w:divBdr>
    </w:div>
    <w:div w:id="18804351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anguardpower.com" TargetMode="External"/><Relationship Id="rId5" Type="http://schemas.openxmlformats.org/officeDocument/2006/relationships/numbering" Target="numbering.xml"/><Relationship Id="rId15" Type="http://schemas.openxmlformats.org/officeDocument/2006/relationships/hyperlink" Target="https://www.bascodigital.com/c/yzbseej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93D43D31F69C4490E681E7E57BAB85" ma:contentTypeVersion="10" ma:contentTypeDescription="Create a new document." ma:contentTypeScope="" ma:versionID="ece370313495eb3bcd6a1ef121fb36d0">
  <xsd:schema xmlns:xsd="http://www.w3.org/2001/XMLSchema" xmlns:xs="http://www.w3.org/2001/XMLSchema" xmlns:p="http://schemas.microsoft.com/office/2006/metadata/properties" xmlns:ns3="b24417c3-0ef5-491f-bcba-43d30e61f741" targetNamespace="http://schemas.microsoft.com/office/2006/metadata/properties" ma:root="true" ma:fieldsID="a8b59d8a806e20dab2826a88400e9750" ns3:_="">
    <xsd:import namespace="b24417c3-0ef5-491f-bcba-43d30e61f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417c3-0ef5-491f-bcba-43d30e61f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B585C-722F-4149-9552-BA57B14858F5}">
  <ds:schemaRefs>
    <ds:schemaRef ds:uri="http://schemas.microsoft.com/sharepoint/v3/contenttype/forms"/>
  </ds:schemaRefs>
</ds:datastoreItem>
</file>

<file path=customXml/itemProps2.xml><?xml version="1.0" encoding="utf-8"?>
<ds:datastoreItem xmlns:ds="http://schemas.openxmlformats.org/officeDocument/2006/customXml" ds:itemID="{CC38FF40-AEAC-4207-9C32-B3FA451616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3CFC49-6866-410D-B8B3-60C9829893AA}">
  <ds:schemaRefs>
    <ds:schemaRef ds:uri="http://schemas.openxmlformats.org/officeDocument/2006/bibliography"/>
  </ds:schemaRefs>
</ds:datastoreItem>
</file>

<file path=customXml/itemProps4.xml><?xml version="1.0" encoding="utf-8"?>
<ds:datastoreItem xmlns:ds="http://schemas.openxmlformats.org/officeDocument/2006/customXml" ds:itemID="{01FA383E-D3DD-4992-BA67-9549EB8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417c3-0ef5-491f-bcba-43d30e61f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1095</Words>
  <Characters>6899</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Briggs &amp; Stratton</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Vagnini, Lauren</dc:creator>
  <cp:lastModifiedBy>Kay Müller</cp:lastModifiedBy>
  <cp:revision>13</cp:revision>
  <cp:lastPrinted>2020-09-21T00:30:00Z</cp:lastPrinted>
  <dcterms:created xsi:type="dcterms:W3CDTF">2025-03-21T16:03:00Z</dcterms:created>
  <dcterms:modified xsi:type="dcterms:W3CDTF">2025-03-31T07:56:00Z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0x0101002E93D43D31F69C4490E681E7E57BAB85</vt:lpwstr>
  </property>
</Properties>
</file>