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362F75" w14:textId="5321E124" w:rsidR="0069035D" w:rsidRPr="003234DE" w:rsidRDefault="00F541DC" w:rsidP="002763AD">
      <w:pPr>
        <w:rPr>
          <w:sz w:val="22"/>
          <w:szCs w:val="22"/>
        </w:rPr>
      </w:pPr>
      <w:r w:rsidRPr="003234DE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5224FD0" wp14:editId="45D33841">
                <wp:simplePos x="0" y="0"/>
                <wp:positionH relativeFrom="column">
                  <wp:posOffset>-87630</wp:posOffset>
                </wp:positionH>
                <wp:positionV relativeFrom="paragraph">
                  <wp:posOffset>-811530</wp:posOffset>
                </wp:positionV>
                <wp:extent cx="4959350" cy="189357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9350" cy="1893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24B898" w14:textId="77777777" w:rsidR="0069035D" w:rsidRDefault="0069035D">
                            <w:pPr>
                              <w:pStyle w:val="berschrift1"/>
                              <w:rPr>
                                <w:rFonts w:ascii="Arial" w:hAnsi="Arial"/>
                                <w:b/>
                                <w:sz w:val="6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64"/>
                              </w:rPr>
                              <w:t>PRESSEINFORM</w:t>
                            </w:r>
                            <w:r>
                              <w:rPr>
                                <w:rFonts w:ascii="Arial" w:hAnsi="Arial"/>
                                <w:b/>
                                <w:sz w:val="64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sz w:val="64"/>
                              </w:rPr>
                              <w:t>TION</w:t>
                            </w:r>
                          </w:p>
                          <w:p w14:paraId="3FCAA604" w14:textId="77777777" w:rsidR="009C35FD" w:rsidRDefault="009C35FD" w:rsidP="009C35FD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Techtronic Industries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  <w:t>Redaktion:</w:t>
                            </w:r>
                          </w:p>
                          <w:p w14:paraId="5C4FB899" w14:textId="77777777" w:rsidR="0069035D" w:rsidRDefault="009C35FD" w:rsidP="009C35FD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Central Europe GmbH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 w:rsidR="0069035D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 w:rsidR="0069035D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  <w:t xml:space="preserve">Pressebüro </w:t>
                            </w:r>
                            <w:smartTag w:uri="urn:schemas-microsoft-com:office:smarttags" w:element="PersonName">
                              <w:r w:rsidR="0069035D"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Dieter Tschorn</w:t>
                              </w:r>
                            </w:smartTag>
                            <w:r w:rsidR="0069035D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 xml:space="preserve"> &amp; Partner</w:t>
                            </w:r>
                          </w:p>
                          <w:p w14:paraId="7969BAEB" w14:textId="77777777" w:rsidR="00AA7E9F" w:rsidRDefault="002D6F6F" w:rsidP="00AA7E9F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Walderstraße 53</w:t>
                            </w:r>
                            <w:r w:rsidR="00AA7E9F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 w:rsidR="00AA7E9F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 w:rsidR="00AA7E9F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 w:rsidR="00AA7E9F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  <w:t>Postfach 101152</w:t>
                            </w:r>
                          </w:p>
                          <w:p w14:paraId="6834B471" w14:textId="77777777" w:rsidR="00AA7E9F" w:rsidRDefault="00AA7E9F" w:rsidP="00AA7E9F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40724 Hilden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  <w:t>69451 Weinheim</w:t>
                            </w:r>
                          </w:p>
                          <w:p w14:paraId="48FB429E" w14:textId="77777777" w:rsidR="00AA7E9F" w:rsidRPr="003F19AE" w:rsidRDefault="00AA7E9F" w:rsidP="003234DE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 xml:space="preserve">Tel. (02103) 960 </w:t>
                            </w:r>
                            <w:r w:rsidR="003234DE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149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  <w:t xml:space="preserve">Tel. </w:t>
                            </w:r>
                            <w:r w:rsidRPr="003F19AE"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  <w:t>(06201) 5 78 78</w:t>
                            </w:r>
                          </w:p>
                          <w:p w14:paraId="6A3792FE" w14:textId="77777777" w:rsidR="0069035D" w:rsidRDefault="00AA3D02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  <w:t>www.milwaukeetool.com</w:t>
                            </w:r>
                            <w:r w:rsidR="0069035D"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  <w:tab/>
                            </w:r>
                            <w:r w:rsidR="0069035D"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  <w:tab/>
                            </w:r>
                            <w:r w:rsidR="00D50382" w:rsidRPr="00D50382"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  <w:t>www.pressebuero-tschorn.de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224FD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.9pt;margin-top:-63.9pt;width:390.5pt;height:149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" o:allowincell="f" stroked="f">
                <v:textbox>
                  <w:txbxContent>
                    <w:p w14:paraId="7424B898" w14:textId="77777777" w:rsidR="0069035D" w:rsidRDefault="0069035D">
                      <w:pPr>
                        <w:pStyle w:val="berschrift1"/>
                        <w:rPr>
                          <w:rFonts w:ascii="Arial" w:hAnsi="Arial"/>
                          <w:b/>
                          <w:sz w:val="64"/>
                        </w:rPr>
                      </w:pPr>
                      <w:r>
                        <w:rPr>
                          <w:rFonts w:ascii="Arial" w:hAnsi="Arial"/>
                          <w:b/>
                          <w:sz w:val="64"/>
                        </w:rPr>
                        <w:t>PRESSEINFORM</w:t>
                      </w:r>
                      <w:r>
                        <w:rPr>
                          <w:rFonts w:ascii="Arial" w:hAnsi="Arial"/>
                          <w:b/>
                          <w:sz w:val="64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sz w:val="64"/>
                        </w:rPr>
                        <w:t>TION</w:t>
                      </w:r>
                    </w:p>
                    <w:p w14:paraId="3FCAA604" w14:textId="77777777" w:rsidR="009C35FD" w:rsidRDefault="009C35FD" w:rsidP="009C35FD">
                      <w:pPr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b/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</w:rPr>
                        <w:t>Techtronic Industries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  <w:t>Redaktion:</w:t>
                      </w:r>
                    </w:p>
                    <w:p w14:paraId="5C4FB899" w14:textId="77777777" w:rsidR="0069035D" w:rsidRDefault="009C35FD" w:rsidP="009C35FD">
                      <w:pPr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b/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</w:rPr>
                        <w:t>Central Europe GmbH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 w:rsidR="0069035D"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 w:rsidR="0069035D">
                        <w:rPr>
                          <w:rFonts w:ascii="Arial" w:hAnsi="Arial"/>
                          <w:b/>
                          <w:sz w:val="18"/>
                        </w:rPr>
                        <w:tab/>
                        <w:t xml:space="preserve">Pressebüro </w:t>
                      </w:r>
                      <w:smartTag w:uri="urn:schemas-microsoft-com:office:smarttags" w:element="PersonName">
                        <w:r w:rsidR="0069035D">
                          <w:rPr>
                            <w:rFonts w:ascii="Arial" w:hAnsi="Arial"/>
                            <w:b/>
                            <w:sz w:val="18"/>
                          </w:rPr>
                          <w:t>Dieter Tschorn</w:t>
                        </w:r>
                      </w:smartTag>
                      <w:r w:rsidR="0069035D">
                        <w:rPr>
                          <w:rFonts w:ascii="Arial" w:hAnsi="Arial"/>
                          <w:b/>
                          <w:sz w:val="18"/>
                        </w:rPr>
                        <w:t xml:space="preserve"> &amp; Partner</w:t>
                      </w:r>
                    </w:p>
                    <w:p w14:paraId="7969BAEB" w14:textId="77777777" w:rsidR="00AA7E9F" w:rsidRDefault="002D6F6F" w:rsidP="00AA7E9F">
                      <w:pPr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b/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</w:rPr>
                        <w:t>Walderstraße 53</w:t>
                      </w:r>
                      <w:r w:rsidR="00AA7E9F"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 w:rsidR="00AA7E9F"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 w:rsidR="00AA7E9F"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 w:rsidR="00AA7E9F">
                        <w:rPr>
                          <w:rFonts w:ascii="Arial" w:hAnsi="Arial"/>
                          <w:b/>
                          <w:sz w:val="18"/>
                        </w:rPr>
                        <w:tab/>
                        <w:t>Postfach 101152</w:t>
                      </w:r>
                    </w:p>
                    <w:p w14:paraId="6834B471" w14:textId="77777777" w:rsidR="00AA7E9F" w:rsidRDefault="00AA7E9F" w:rsidP="00AA7E9F">
                      <w:pPr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b/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</w:rPr>
                        <w:t>40724 Hilden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  <w:t>69451 Weinheim</w:t>
                      </w:r>
                    </w:p>
                    <w:p w14:paraId="48FB429E" w14:textId="77777777" w:rsidR="00AA7E9F" w:rsidRPr="003F19AE" w:rsidRDefault="00AA7E9F" w:rsidP="003234DE">
                      <w:pPr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</w:rPr>
                        <w:t xml:space="preserve">Tel. (02103) 960 </w:t>
                      </w:r>
                      <w:r w:rsidR="003234DE">
                        <w:rPr>
                          <w:rFonts w:ascii="Arial" w:hAnsi="Arial"/>
                          <w:b/>
                          <w:sz w:val="18"/>
                        </w:rPr>
                        <w:t>149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  <w:t xml:space="preserve">Tel. </w:t>
                      </w:r>
                      <w:r w:rsidRPr="003F19AE"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  <w:t>(06201) 5 78 78</w:t>
                      </w:r>
                    </w:p>
                    <w:p w14:paraId="6A3792FE" w14:textId="77777777" w:rsidR="0069035D" w:rsidRDefault="00AA3D02">
                      <w:pPr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  <w:t>www.milwaukeetool.com</w:t>
                      </w:r>
                      <w:r w:rsidR="0069035D"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  <w:tab/>
                      </w:r>
                      <w:r w:rsidR="0069035D"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  <w:tab/>
                      </w:r>
                      <w:r w:rsidR="00D50382" w:rsidRPr="00D50382"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  <w:t>www.pressebuero-tschorn.de</w:t>
                      </w:r>
                    </w:p>
                  </w:txbxContent>
                </v:textbox>
              </v:shape>
            </w:pict>
          </mc:Fallback>
        </mc:AlternateContent>
      </w:r>
    </w:p>
    <w:p w14:paraId="7EC747DC" w14:textId="77777777" w:rsidR="0069035D" w:rsidRPr="003234DE" w:rsidRDefault="0069035D" w:rsidP="002763AD">
      <w:pPr>
        <w:rPr>
          <w:sz w:val="22"/>
          <w:szCs w:val="22"/>
        </w:rPr>
      </w:pPr>
    </w:p>
    <w:p w14:paraId="3E1CB124" w14:textId="77777777" w:rsidR="0069035D" w:rsidRPr="003234DE" w:rsidRDefault="0069035D" w:rsidP="002763AD">
      <w:pPr>
        <w:rPr>
          <w:sz w:val="22"/>
          <w:szCs w:val="22"/>
        </w:rPr>
      </w:pPr>
    </w:p>
    <w:p w14:paraId="6DC49368" w14:textId="77777777" w:rsidR="0069035D" w:rsidRPr="003234DE" w:rsidRDefault="0069035D" w:rsidP="002763AD">
      <w:pPr>
        <w:rPr>
          <w:sz w:val="22"/>
          <w:szCs w:val="22"/>
        </w:rPr>
      </w:pPr>
    </w:p>
    <w:p w14:paraId="2957FB1D" w14:textId="77777777" w:rsidR="0069035D" w:rsidRPr="003234DE" w:rsidRDefault="0069035D" w:rsidP="002763AD">
      <w:pPr>
        <w:rPr>
          <w:sz w:val="22"/>
          <w:szCs w:val="22"/>
        </w:rPr>
      </w:pPr>
    </w:p>
    <w:p w14:paraId="2F49449A" w14:textId="77777777" w:rsidR="0069035D" w:rsidRPr="003234DE" w:rsidRDefault="0069035D" w:rsidP="002763AD">
      <w:pPr>
        <w:rPr>
          <w:sz w:val="22"/>
          <w:szCs w:val="22"/>
        </w:rPr>
      </w:pPr>
    </w:p>
    <w:p w14:paraId="28D9A336" w14:textId="77777777" w:rsidR="003234DE" w:rsidRDefault="003234DE" w:rsidP="003234DE">
      <w:pPr>
        <w:spacing w:line="360" w:lineRule="auto"/>
        <w:rPr>
          <w:sz w:val="22"/>
          <w:szCs w:val="22"/>
        </w:rPr>
      </w:pPr>
    </w:p>
    <w:p w14:paraId="40570B3C" w14:textId="77777777" w:rsidR="003D75BC" w:rsidRPr="003234DE" w:rsidRDefault="003D75BC" w:rsidP="003234DE">
      <w:pPr>
        <w:spacing w:line="360" w:lineRule="auto"/>
        <w:rPr>
          <w:sz w:val="22"/>
          <w:szCs w:val="22"/>
        </w:rPr>
      </w:pPr>
    </w:p>
    <w:p w14:paraId="6656D49C" w14:textId="77777777" w:rsidR="002B2D0A" w:rsidRPr="00956514" w:rsidRDefault="002B2D0A" w:rsidP="003714F4">
      <w:pPr>
        <w:spacing w:line="360" w:lineRule="auto"/>
        <w:ind w:right="-454"/>
        <w:rPr>
          <w:b/>
          <w:bCs/>
          <w:sz w:val="36"/>
          <w:szCs w:val="36"/>
        </w:rPr>
      </w:pPr>
      <w:r w:rsidRPr="00956514">
        <w:rPr>
          <w:b/>
          <w:bCs/>
          <w:sz w:val="36"/>
          <w:szCs w:val="36"/>
        </w:rPr>
        <w:t>Schnellere Schnitte, längere Haltbarkeit</w:t>
      </w:r>
    </w:p>
    <w:p w14:paraId="2C276061" w14:textId="77777777" w:rsidR="002B2D0A" w:rsidRDefault="002B2D0A" w:rsidP="00561F26">
      <w:pPr>
        <w:spacing w:line="360" w:lineRule="auto"/>
        <w:rPr>
          <w:i/>
          <w:sz w:val="22"/>
          <w:szCs w:val="22"/>
        </w:rPr>
      </w:pPr>
      <w:r>
        <w:rPr>
          <w:i/>
          <w:sz w:val="22"/>
          <w:szCs w:val="22"/>
        </w:rPr>
        <w:t>Milwaukee definiert den Standard neu bei Säbelsägeblättern für Gusseisen</w:t>
      </w:r>
      <w:r w:rsidR="00956514">
        <w:rPr>
          <w:i/>
          <w:sz w:val="22"/>
          <w:szCs w:val="22"/>
        </w:rPr>
        <w:t>-</w:t>
      </w:r>
      <w:r>
        <w:rPr>
          <w:i/>
          <w:sz w:val="22"/>
          <w:szCs w:val="22"/>
        </w:rPr>
        <w:t xml:space="preserve"> und </w:t>
      </w:r>
      <w:r w:rsidR="00956514">
        <w:rPr>
          <w:i/>
          <w:sz w:val="22"/>
          <w:szCs w:val="22"/>
        </w:rPr>
        <w:t>Metallrohre</w:t>
      </w:r>
    </w:p>
    <w:p w14:paraId="7DA93ECE" w14:textId="77777777" w:rsidR="000D6ED7" w:rsidRDefault="000D6ED7" w:rsidP="00561F26">
      <w:pPr>
        <w:spacing w:line="360" w:lineRule="auto"/>
        <w:rPr>
          <w:sz w:val="22"/>
          <w:szCs w:val="22"/>
        </w:rPr>
      </w:pPr>
    </w:p>
    <w:p w14:paraId="60DB4F4F" w14:textId="77777777" w:rsidR="00416CB6" w:rsidRDefault="00875B73" w:rsidP="00561F26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Milwaukee stellt eine neue Klasse an Säbelsägeblättern vor, die für härteste Anwendungen</w:t>
      </w:r>
      <w:r w:rsidRPr="00875B7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entwickelt wurde, beispielsweise für die Bearbeitung von Gusseisen. Die </w:t>
      </w:r>
      <w:r w:rsidR="00316A08">
        <w:rPr>
          <w:sz w:val="22"/>
          <w:szCs w:val="22"/>
        </w:rPr>
        <w:t xml:space="preserve">Torch </w:t>
      </w:r>
      <w:r>
        <w:rPr>
          <w:sz w:val="22"/>
          <w:szCs w:val="22"/>
        </w:rPr>
        <w:t>Nitrus Carbide-</w:t>
      </w:r>
      <w:r w:rsidR="00316A08">
        <w:rPr>
          <w:sz w:val="22"/>
          <w:szCs w:val="22"/>
        </w:rPr>
        <w:t xml:space="preserve">Blätter </w:t>
      </w:r>
      <w:r>
        <w:rPr>
          <w:sz w:val="22"/>
          <w:szCs w:val="22"/>
        </w:rPr>
        <w:t>halten bis zu dreimal länger als bisherige Blätter</w:t>
      </w:r>
      <w:r w:rsidR="00316A08">
        <w:rPr>
          <w:sz w:val="22"/>
          <w:szCs w:val="22"/>
        </w:rPr>
        <w:t xml:space="preserve"> mit Hartmetall-Verzahnung</w:t>
      </w:r>
      <w:r>
        <w:rPr>
          <w:sz w:val="22"/>
          <w:szCs w:val="22"/>
        </w:rPr>
        <w:t xml:space="preserve">. Zugleich erlauben </w:t>
      </w:r>
      <w:r w:rsidR="00416CB6">
        <w:rPr>
          <w:sz w:val="22"/>
          <w:szCs w:val="22"/>
        </w:rPr>
        <w:t>sie</w:t>
      </w:r>
      <w:r>
        <w:rPr>
          <w:sz w:val="22"/>
          <w:szCs w:val="22"/>
        </w:rPr>
        <w:t xml:space="preserve"> einen schnelleren Arbeitsfortschritt. Der geringere Materialver</w:t>
      </w:r>
      <w:r w:rsidR="00416CB6">
        <w:rPr>
          <w:sz w:val="22"/>
          <w:szCs w:val="22"/>
        </w:rPr>
        <w:t xml:space="preserve">brauch, weniger Rüstzeiten und schnelle Schnitte summieren sich in einer deutlichen Reduzierung der Gesamtkosten. Bei Demontagearbeiten und überall dort, wo Zeit ein wichtiger Kostenfaktor ist, tragen die neuen </w:t>
      </w:r>
      <w:r w:rsidR="008A18A9">
        <w:rPr>
          <w:sz w:val="22"/>
          <w:szCs w:val="22"/>
        </w:rPr>
        <w:t>Blätter</w:t>
      </w:r>
      <w:r w:rsidR="00416CB6">
        <w:rPr>
          <w:sz w:val="22"/>
          <w:szCs w:val="22"/>
        </w:rPr>
        <w:t xml:space="preserve"> zu einer Verbesserung der Produktivität im Einsatz von Säbelsägen bei.</w:t>
      </w:r>
    </w:p>
    <w:p w14:paraId="587E67E2" w14:textId="77777777" w:rsidR="004733B2" w:rsidRDefault="004733B2" w:rsidP="00561F26">
      <w:pPr>
        <w:spacing w:line="360" w:lineRule="auto"/>
        <w:rPr>
          <w:sz w:val="22"/>
          <w:szCs w:val="22"/>
        </w:rPr>
      </w:pPr>
    </w:p>
    <w:p w14:paraId="04642F4F" w14:textId="77777777" w:rsidR="004733B2" w:rsidRDefault="004733B2" w:rsidP="00561F26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Gusseisen ersetzt in vielen Anwendungsbereichen zunehmend Kunststoff</w:t>
      </w:r>
      <w:r w:rsidR="001B6CB3">
        <w:rPr>
          <w:sz w:val="22"/>
          <w:szCs w:val="22"/>
        </w:rPr>
        <w:t>, etwa bei Abwasser- Abfluss- und Entwässerungsrohren</w:t>
      </w:r>
      <w:r>
        <w:rPr>
          <w:sz w:val="22"/>
          <w:szCs w:val="22"/>
        </w:rPr>
        <w:t>. Rohre aus Gusseisen sind feuerbeständig, recycelbar, sehr korrosionsfest</w:t>
      </w:r>
      <w:r w:rsidR="000D280B">
        <w:rPr>
          <w:sz w:val="22"/>
          <w:szCs w:val="22"/>
        </w:rPr>
        <w:t>, langlebig und langfristig kostengünstiger als Kunststoff. Doch die Bearbeitung stellt extrem hohe Anforderungen an das zum Einsatz kommende Material.</w:t>
      </w:r>
    </w:p>
    <w:p w14:paraId="127793E3" w14:textId="77777777" w:rsidR="004733B2" w:rsidRDefault="004733B2" w:rsidP="00561F26">
      <w:pPr>
        <w:spacing w:line="360" w:lineRule="auto"/>
        <w:rPr>
          <w:sz w:val="22"/>
          <w:szCs w:val="22"/>
        </w:rPr>
      </w:pPr>
    </w:p>
    <w:p w14:paraId="1071290F" w14:textId="77777777" w:rsidR="00FE1D5A" w:rsidRDefault="00873F68" w:rsidP="000B0A6C">
      <w:pPr>
        <w:spacing w:line="360" w:lineRule="auto"/>
        <w:rPr>
          <w:sz w:val="22"/>
          <w:szCs w:val="22"/>
        </w:rPr>
      </w:pPr>
      <w:r w:rsidRPr="001B6E3B">
        <w:rPr>
          <w:sz w:val="22"/>
          <w:szCs w:val="22"/>
        </w:rPr>
        <w:t>Die</w:t>
      </w:r>
      <w:r w:rsidR="008A18A9" w:rsidRPr="001B6E3B">
        <w:rPr>
          <w:sz w:val="22"/>
          <w:szCs w:val="22"/>
        </w:rPr>
        <w:t xml:space="preserve"> Torch</w:t>
      </w:r>
      <w:r w:rsidRPr="001B6E3B">
        <w:rPr>
          <w:sz w:val="22"/>
          <w:szCs w:val="22"/>
        </w:rPr>
        <w:t xml:space="preserve"> Nitrus Carbide-Blätter von Milwaukee werden </w:t>
      </w:r>
      <w:r w:rsidR="00FE1D5A" w:rsidRPr="001B6E3B">
        <w:rPr>
          <w:sz w:val="22"/>
          <w:szCs w:val="22"/>
        </w:rPr>
        <w:t xml:space="preserve">mit einer speziellen Legierung gefertigt. </w:t>
      </w:r>
      <w:r w:rsidR="007E0A93" w:rsidRPr="001B6E3B">
        <w:rPr>
          <w:sz w:val="22"/>
          <w:szCs w:val="22"/>
        </w:rPr>
        <w:t>Das Ergebnis sind Säbelsägeblätter mit einer bisher nicht erreichten Haltbarkeit.</w:t>
      </w:r>
      <w:r w:rsidR="00FE1D5A">
        <w:rPr>
          <w:sz w:val="22"/>
          <w:szCs w:val="22"/>
        </w:rPr>
        <w:t xml:space="preserve"> </w:t>
      </w:r>
      <w:r w:rsidR="007E0A93" w:rsidRPr="007E0A93">
        <w:rPr>
          <w:sz w:val="22"/>
          <w:szCs w:val="22"/>
        </w:rPr>
        <w:t xml:space="preserve">Ein </w:t>
      </w:r>
      <w:r w:rsidR="001B6CB3">
        <w:rPr>
          <w:sz w:val="22"/>
          <w:szCs w:val="22"/>
        </w:rPr>
        <w:t>Säbelsägeb</w:t>
      </w:r>
      <w:r w:rsidR="001B6CB3" w:rsidRPr="007E0A93">
        <w:rPr>
          <w:sz w:val="22"/>
          <w:szCs w:val="22"/>
        </w:rPr>
        <w:t>latt</w:t>
      </w:r>
      <w:r w:rsidR="001B6CB3">
        <w:rPr>
          <w:sz w:val="22"/>
          <w:szCs w:val="22"/>
        </w:rPr>
        <w:t xml:space="preserve"> mit</w:t>
      </w:r>
      <w:r w:rsidR="001B6CB3" w:rsidRPr="007E0A93">
        <w:rPr>
          <w:sz w:val="22"/>
          <w:szCs w:val="22"/>
        </w:rPr>
        <w:t xml:space="preserve"> </w:t>
      </w:r>
      <w:r w:rsidR="007E0A93" w:rsidRPr="007E0A93">
        <w:rPr>
          <w:sz w:val="22"/>
          <w:szCs w:val="22"/>
        </w:rPr>
        <w:t>Nitrus Carbide-</w:t>
      </w:r>
      <w:r w:rsidR="008A18A9">
        <w:rPr>
          <w:sz w:val="22"/>
          <w:szCs w:val="22"/>
        </w:rPr>
        <w:t>Hartmetall-V</w:t>
      </w:r>
      <w:r w:rsidR="001B6CB3">
        <w:rPr>
          <w:sz w:val="22"/>
          <w:szCs w:val="22"/>
        </w:rPr>
        <w:t>erzahnung</w:t>
      </w:r>
      <w:r w:rsidR="007E0A93" w:rsidRPr="007E0A93">
        <w:rPr>
          <w:sz w:val="22"/>
          <w:szCs w:val="22"/>
        </w:rPr>
        <w:t xml:space="preserve"> sch</w:t>
      </w:r>
      <w:r w:rsidR="007E0A93">
        <w:rPr>
          <w:sz w:val="22"/>
          <w:szCs w:val="22"/>
        </w:rPr>
        <w:t xml:space="preserve">afft bis zu sieben Schnitte in Gusseisenrohr mit 110 mm Durchmesser. Mit herkömmlichen Hartmetall-Blättern sind maximal vier Schnitte möglich. </w:t>
      </w:r>
    </w:p>
    <w:p w14:paraId="6040E3C3" w14:textId="77777777" w:rsidR="00FE1D5A" w:rsidRDefault="00FE1D5A" w:rsidP="000B0A6C">
      <w:pPr>
        <w:spacing w:line="360" w:lineRule="auto"/>
        <w:rPr>
          <w:sz w:val="22"/>
          <w:szCs w:val="22"/>
        </w:rPr>
      </w:pPr>
    </w:p>
    <w:p w14:paraId="346E9C56" w14:textId="77777777" w:rsidR="000B0A6C" w:rsidRDefault="007E0A93" w:rsidP="000B0A6C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Eine feine Verzahnung mit 7 TPI (Zähne/Inch) sorgt für optimalen Materialabtrag.</w:t>
      </w:r>
      <w:r w:rsidR="000B0A6C">
        <w:rPr>
          <w:sz w:val="22"/>
          <w:szCs w:val="22"/>
        </w:rPr>
        <w:t xml:space="preserve"> </w:t>
      </w:r>
      <w:r w:rsidR="000B0A6C" w:rsidRPr="000C3B80">
        <w:rPr>
          <w:sz w:val="22"/>
          <w:szCs w:val="22"/>
        </w:rPr>
        <w:t xml:space="preserve">Zur Verbesserung der Verwindungssteifheit sind </w:t>
      </w:r>
      <w:r w:rsidR="008A18A9">
        <w:rPr>
          <w:sz w:val="22"/>
          <w:szCs w:val="22"/>
        </w:rPr>
        <w:t>die neuen Blät</w:t>
      </w:r>
      <w:r w:rsidR="008A18A9">
        <w:rPr>
          <w:sz w:val="22"/>
          <w:szCs w:val="22"/>
        </w:rPr>
        <w:lastRenderedPageBreak/>
        <w:t>ter</w:t>
      </w:r>
      <w:r w:rsidR="000B0A6C" w:rsidRPr="000C3B80">
        <w:rPr>
          <w:sz w:val="22"/>
          <w:szCs w:val="22"/>
        </w:rPr>
        <w:t xml:space="preserve"> mit einer Stärke </w:t>
      </w:r>
      <w:r w:rsidR="000B0A6C" w:rsidRPr="000266EE">
        <w:rPr>
          <w:sz w:val="22"/>
          <w:szCs w:val="22"/>
        </w:rPr>
        <w:t>von 1,27 mm besonders dick und mit 25 mm</w:t>
      </w:r>
      <w:r w:rsidR="000B0A6C" w:rsidRPr="000C3B80">
        <w:rPr>
          <w:sz w:val="22"/>
          <w:szCs w:val="22"/>
        </w:rPr>
        <w:t xml:space="preserve"> auch höher als andere Säbelsägeblätter.</w:t>
      </w:r>
      <w:r w:rsidR="000B0A6C">
        <w:rPr>
          <w:sz w:val="22"/>
          <w:szCs w:val="22"/>
        </w:rPr>
        <w:t xml:space="preserve"> Sie bleiben unter Belastung stabil, halten die Vibrationen gering und ermöglichen eine bestmögliche Kraftübertragung und Präzision.</w:t>
      </w:r>
    </w:p>
    <w:p w14:paraId="127069AF" w14:textId="77777777" w:rsidR="000B0A6C" w:rsidRDefault="000B0A6C" w:rsidP="000B0A6C">
      <w:pPr>
        <w:spacing w:line="360" w:lineRule="auto"/>
        <w:rPr>
          <w:sz w:val="22"/>
          <w:szCs w:val="22"/>
        </w:rPr>
      </w:pPr>
    </w:p>
    <w:p w14:paraId="7D931B43" w14:textId="77777777" w:rsidR="000B0A6C" w:rsidRDefault="000B0A6C" w:rsidP="000B0A6C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Die neuen Säbelsägeblätter werden in Längen von 150 und 230 mm und 300 mm </w:t>
      </w:r>
      <w:r w:rsidRPr="000266EE">
        <w:rPr>
          <w:sz w:val="22"/>
          <w:szCs w:val="22"/>
        </w:rPr>
        <w:t xml:space="preserve">einzeln oder in Sets </w:t>
      </w:r>
      <w:r w:rsidR="000266EE">
        <w:rPr>
          <w:sz w:val="22"/>
          <w:szCs w:val="22"/>
        </w:rPr>
        <w:t xml:space="preserve">mit jeweils fünf Stück </w:t>
      </w:r>
      <w:r w:rsidRPr="000266EE">
        <w:rPr>
          <w:sz w:val="22"/>
          <w:szCs w:val="22"/>
        </w:rPr>
        <w:t>angeboten</w:t>
      </w:r>
      <w:r>
        <w:rPr>
          <w:sz w:val="22"/>
          <w:szCs w:val="22"/>
        </w:rPr>
        <w:t>. Sie sind optimiert für den Einsatz in Akkuwerkzeug. Besondere Vorteile bietet die Verwendung mit Milwaukee Akku-Säbelsägen, die mit einem One-Key-Modul ausgestattet sind. Die flexiblen Programmiermöglichkeiten erlauben eine optimale Abstimmung der Leistungsparameter auf das Sägeblatt und das zu bearbeitende Material.</w:t>
      </w:r>
    </w:p>
    <w:p w14:paraId="0F89DE7E" w14:textId="77777777" w:rsidR="000B0A6C" w:rsidRDefault="000B0A6C" w:rsidP="000B0A6C">
      <w:pPr>
        <w:spacing w:line="360" w:lineRule="auto"/>
        <w:rPr>
          <w:sz w:val="22"/>
          <w:szCs w:val="22"/>
        </w:rPr>
      </w:pPr>
    </w:p>
    <w:p w14:paraId="372932B5" w14:textId="77777777" w:rsidR="00C90E58" w:rsidRDefault="00C90E58" w:rsidP="00C90E58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Weitere Informationen: </w:t>
      </w:r>
      <w:r w:rsidR="00D245D9" w:rsidRPr="00D245D9">
        <w:rPr>
          <w:sz w:val="22"/>
          <w:szCs w:val="22"/>
        </w:rPr>
        <w:t>www.milwaukeetool.de</w:t>
      </w:r>
    </w:p>
    <w:p w14:paraId="428B26AA" w14:textId="77777777" w:rsidR="00D245D9" w:rsidRDefault="00D245D9" w:rsidP="00C90E58">
      <w:pPr>
        <w:spacing w:line="360" w:lineRule="auto"/>
        <w:rPr>
          <w:sz w:val="22"/>
          <w:szCs w:val="22"/>
        </w:rPr>
      </w:pPr>
    </w:p>
    <w:p w14:paraId="6F572A96" w14:textId="77777777" w:rsidR="00316A08" w:rsidRDefault="00316A08" w:rsidP="00316A08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Technische Daten:</w:t>
      </w:r>
    </w:p>
    <w:tbl>
      <w:tblPr>
        <w:tblW w:w="690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65"/>
        <w:gridCol w:w="1285"/>
        <w:gridCol w:w="1165"/>
        <w:gridCol w:w="1089"/>
      </w:tblGrid>
      <w:tr w:rsidR="00316A08" w:rsidRPr="00316A08" w14:paraId="017ED2DF" w14:textId="77777777" w:rsidTr="00316A08">
        <w:trPr>
          <w:trHeight w:val="300"/>
        </w:trPr>
        <w:tc>
          <w:tcPr>
            <w:tcW w:w="3365" w:type="dxa"/>
            <w:tcBorders>
              <w:top w:val="nil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20" w:type="dxa"/>
            </w:tcMar>
          </w:tcPr>
          <w:p w14:paraId="7E09ACBB" w14:textId="77777777" w:rsidR="00316A08" w:rsidRPr="00316A08" w:rsidRDefault="00316A08" w:rsidP="00257AFD">
            <w:pPr>
              <w:spacing w:line="240" w:lineRule="exact"/>
              <w:rPr>
                <w:b/>
                <w:color w:val="323232"/>
                <w:sz w:val="20"/>
              </w:rPr>
            </w:pPr>
            <w:r w:rsidRPr="00316A08">
              <w:rPr>
                <w:b/>
                <w:color w:val="323232"/>
                <w:sz w:val="20"/>
              </w:rPr>
              <w:t>Blattlänge</w:t>
            </w:r>
          </w:p>
        </w:tc>
        <w:tc>
          <w:tcPr>
            <w:tcW w:w="1285" w:type="dxa"/>
            <w:tcBorders>
              <w:top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348608" w14:textId="77777777" w:rsidR="00316A08" w:rsidRPr="00316A08" w:rsidRDefault="00316A08" w:rsidP="00257AFD">
            <w:pPr>
              <w:spacing w:line="240" w:lineRule="exact"/>
              <w:jc w:val="right"/>
              <w:rPr>
                <w:b/>
                <w:color w:val="323232"/>
                <w:sz w:val="20"/>
              </w:rPr>
            </w:pPr>
            <w:r>
              <w:rPr>
                <w:b/>
                <w:color w:val="323232"/>
                <w:sz w:val="20"/>
              </w:rPr>
              <w:t>150 mm</w:t>
            </w:r>
          </w:p>
        </w:tc>
        <w:tc>
          <w:tcPr>
            <w:tcW w:w="1165" w:type="dxa"/>
            <w:tcBorders>
              <w:top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06C3BC" w14:textId="77777777" w:rsidR="00316A08" w:rsidRPr="00316A08" w:rsidRDefault="00316A08" w:rsidP="00257AFD">
            <w:pPr>
              <w:spacing w:line="240" w:lineRule="exact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230 mm</w:t>
            </w:r>
          </w:p>
        </w:tc>
        <w:tc>
          <w:tcPr>
            <w:tcW w:w="1089" w:type="dxa"/>
            <w:tcBorders>
              <w:top w:val="nil"/>
            </w:tcBorders>
            <w:shd w:val="clear" w:color="auto" w:fill="FFFFFF"/>
          </w:tcPr>
          <w:p w14:paraId="648FF38A" w14:textId="77777777" w:rsidR="00316A08" w:rsidRPr="00316A08" w:rsidRDefault="00316A08" w:rsidP="00316A08">
            <w:pPr>
              <w:spacing w:line="240" w:lineRule="exact"/>
              <w:ind w:right="7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300 mm</w:t>
            </w:r>
          </w:p>
        </w:tc>
      </w:tr>
      <w:tr w:rsidR="00316A08" w:rsidRPr="00E253A3" w14:paraId="3F6621B6" w14:textId="77777777" w:rsidTr="00316A08">
        <w:trPr>
          <w:trHeight w:val="300"/>
        </w:trPr>
        <w:tc>
          <w:tcPr>
            <w:tcW w:w="3365" w:type="dxa"/>
            <w:tcBorders>
              <w:top w:val="nil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20" w:type="dxa"/>
            </w:tcMar>
            <w:hideMark/>
          </w:tcPr>
          <w:p w14:paraId="796C7167" w14:textId="77777777" w:rsidR="00316A08" w:rsidRPr="00E253A3" w:rsidRDefault="00316A08" w:rsidP="00316A08">
            <w:pPr>
              <w:spacing w:line="240" w:lineRule="exact"/>
              <w:rPr>
                <w:bCs/>
                <w:color w:val="323232"/>
                <w:sz w:val="20"/>
              </w:rPr>
            </w:pPr>
            <w:r w:rsidRPr="00E253A3">
              <w:rPr>
                <w:bCs/>
                <w:color w:val="323232"/>
                <w:sz w:val="20"/>
              </w:rPr>
              <w:t>Max. Schnittleistung in Gusseisen (mm)</w:t>
            </w:r>
          </w:p>
        </w:tc>
        <w:tc>
          <w:tcPr>
            <w:tcW w:w="1285" w:type="dxa"/>
            <w:tcBorders>
              <w:top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4765B1" w14:textId="77777777" w:rsidR="00316A08" w:rsidRPr="00E253A3" w:rsidRDefault="00316A08" w:rsidP="00316A08">
            <w:pPr>
              <w:spacing w:line="240" w:lineRule="exact"/>
              <w:jc w:val="right"/>
              <w:rPr>
                <w:bCs/>
                <w:color w:val="323232"/>
                <w:sz w:val="20"/>
              </w:rPr>
            </w:pPr>
            <w:r w:rsidRPr="00E253A3">
              <w:rPr>
                <w:bCs/>
                <w:color w:val="323232"/>
                <w:sz w:val="20"/>
              </w:rPr>
              <w:t>ø 10 - 100</w:t>
            </w:r>
          </w:p>
        </w:tc>
        <w:tc>
          <w:tcPr>
            <w:tcW w:w="1165" w:type="dxa"/>
            <w:tcBorders>
              <w:top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15249F" w14:textId="77777777" w:rsidR="00316A08" w:rsidRPr="00E253A3" w:rsidRDefault="00316A08" w:rsidP="00316A08">
            <w:pPr>
              <w:spacing w:line="240" w:lineRule="exact"/>
              <w:jc w:val="right"/>
              <w:rPr>
                <w:bCs/>
                <w:sz w:val="20"/>
              </w:rPr>
            </w:pPr>
            <w:r w:rsidRPr="00E253A3">
              <w:rPr>
                <w:bCs/>
                <w:sz w:val="20"/>
              </w:rPr>
              <w:t>ø 10 - 175</w:t>
            </w:r>
          </w:p>
        </w:tc>
        <w:tc>
          <w:tcPr>
            <w:tcW w:w="1089" w:type="dxa"/>
            <w:tcBorders>
              <w:top w:val="nil"/>
            </w:tcBorders>
            <w:shd w:val="clear" w:color="auto" w:fill="FFFFFF"/>
          </w:tcPr>
          <w:p w14:paraId="6C2AC21F" w14:textId="77777777" w:rsidR="00316A08" w:rsidRPr="00316A08" w:rsidRDefault="00316A08" w:rsidP="00316A08">
            <w:pPr>
              <w:spacing w:line="240" w:lineRule="exact"/>
              <w:ind w:right="72"/>
              <w:jc w:val="right"/>
              <w:rPr>
                <w:b/>
                <w:sz w:val="20"/>
              </w:rPr>
            </w:pPr>
            <w:r w:rsidRPr="00E253A3">
              <w:rPr>
                <w:bCs/>
                <w:sz w:val="20"/>
              </w:rPr>
              <w:t xml:space="preserve">ø 10 - </w:t>
            </w:r>
            <w:r>
              <w:rPr>
                <w:bCs/>
                <w:sz w:val="20"/>
              </w:rPr>
              <w:t>250</w:t>
            </w:r>
          </w:p>
        </w:tc>
      </w:tr>
      <w:tr w:rsidR="00316A08" w:rsidRPr="00E253A3" w14:paraId="2A8128BD" w14:textId="77777777" w:rsidTr="00316A08">
        <w:trPr>
          <w:trHeight w:val="300"/>
        </w:trPr>
        <w:tc>
          <w:tcPr>
            <w:tcW w:w="3365" w:type="dxa"/>
            <w:tcBorders>
              <w:top w:val="nil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20" w:type="dxa"/>
            </w:tcMar>
            <w:hideMark/>
          </w:tcPr>
          <w:p w14:paraId="4C282619" w14:textId="77777777" w:rsidR="00316A08" w:rsidRPr="00E253A3" w:rsidRDefault="00316A08" w:rsidP="00316A08">
            <w:pPr>
              <w:spacing w:line="240" w:lineRule="exact"/>
              <w:rPr>
                <w:bCs/>
                <w:color w:val="323232"/>
                <w:sz w:val="20"/>
              </w:rPr>
            </w:pPr>
            <w:r w:rsidRPr="00E253A3">
              <w:rPr>
                <w:bCs/>
                <w:color w:val="323232"/>
                <w:sz w:val="20"/>
              </w:rPr>
              <w:t>Max. Schnittleistung in Metallrohr (mm)</w:t>
            </w:r>
          </w:p>
        </w:tc>
        <w:tc>
          <w:tcPr>
            <w:tcW w:w="1285" w:type="dxa"/>
            <w:tcBorders>
              <w:top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4A64E6" w14:textId="77777777" w:rsidR="00316A08" w:rsidRPr="00E253A3" w:rsidRDefault="00316A08" w:rsidP="00316A08">
            <w:pPr>
              <w:spacing w:line="240" w:lineRule="exact"/>
              <w:jc w:val="right"/>
              <w:rPr>
                <w:bCs/>
                <w:color w:val="323232"/>
                <w:sz w:val="20"/>
              </w:rPr>
            </w:pPr>
            <w:r w:rsidRPr="00E253A3">
              <w:rPr>
                <w:bCs/>
                <w:color w:val="323232"/>
                <w:sz w:val="20"/>
              </w:rPr>
              <w:t>ø 10 - 100</w:t>
            </w:r>
          </w:p>
        </w:tc>
        <w:tc>
          <w:tcPr>
            <w:tcW w:w="1165" w:type="dxa"/>
            <w:tcBorders>
              <w:top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0DA0E6" w14:textId="77777777" w:rsidR="00316A08" w:rsidRPr="00E253A3" w:rsidRDefault="00316A08" w:rsidP="00316A08">
            <w:pPr>
              <w:spacing w:line="240" w:lineRule="exact"/>
              <w:jc w:val="right"/>
              <w:rPr>
                <w:bCs/>
                <w:sz w:val="20"/>
              </w:rPr>
            </w:pPr>
            <w:r w:rsidRPr="00E253A3">
              <w:rPr>
                <w:bCs/>
                <w:sz w:val="20"/>
              </w:rPr>
              <w:t>ø 10 - 175</w:t>
            </w:r>
          </w:p>
        </w:tc>
        <w:tc>
          <w:tcPr>
            <w:tcW w:w="1089" w:type="dxa"/>
            <w:tcBorders>
              <w:top w:val="nil"/>
            </w:tcBorders>
            <w:shd w:val="clear" w:color="auto" w:fill="FFFFFF"/>
          </w:tcPr>
          <w:p w14:paraId="15E26D20" w14:textId="77777777" w:rsidR="00316A08" w:rsidRPr="00316A08" w:rsidRDefault="00316A08" w:rsidP="00316A08">
            <w:pPr>
              <w:spacing w:line="240" w:lineRule="exact"/>
              <w:ind w:right="72"/>
              <w:jc w:val="right"/>
              <w:rPr>
                <w:b/>
                <w:sz w:val="20"/>
              </w:rPr>
            </w:pPr>
            <w:r w:rsidRPr="00E253A3">
              <w:rPr>
                <w:bCs/>
                <w:sz w:val="20"/>
              </w:rPr>
              <w:t xml:space="preserve">ø 10 - </w:t>
            </w:r>
            <w:r>
              <w:rPr>
                <w:bCs/>
                <w:sz w:val="20"/>
              </w:rPr>
              <w:t>250</w:t>
            </w:r>
          </w:p>
        </w:tc>
      </w:tr>
      <w:tr w:rsidR="00316A08" w:rsidRPr="00E253A3" w14:paraId="48EC6261" w14:textId="77777777" w:rsidTr="00316A08">
        <w:trPr>
          <w:trHeight w:val="300"/>
        </w:trPr>
        <w:tc>
          <w:tcPr>
            <w:tcW w:w="3365" w:type="dxa"/>
            <w:tcBorders>
              <w:top w:val="nil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20" w:type="dxa"/>
            </w:tcMar>
            <w:hideMark/>
          </w:tcPr>
          <w:p w14:paraId="38049268" w14:textId="77777777" w:rsidR="00316A08" w:rsidRPr="00E253A3" w:rsidRDefault="00316A08" w:rsidP="00316A08">
            <w:pPr>
              <w:spacing w:line="240" w:lineRule="exact"/>
              <w:rPr>
                <w:bCs/>
                <w:color w:val="323232"/>
                <w:sz w:val="20"/>
              </w:rPr>
            </w:pPr>
            <w:r w:rsidRPr="00E253A3">
              <w:rPr>
                <w:bCs/>
                <w:color w:val="323232"/>
                <w:sz w:val="20"/>
              </w:rPr>
              <w:t>Max. Schnittleistung in NE-Metalle (mm)</w:t>
            </w:r>
          </w:p>
        </w:tc>
        <w:tc>
          <w:tcPr>
            <w:tcW w:w="1285" w:type="dxa"/>
            <w:tcBorders>
              <w:top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717F04" w14:textId="77777777" w:rsidR="00316A08" w:rsidRPr="00E253A3" w:rsidRDefault="00316A08" w:rsidP="00316A08">
            <w:pPr>
              <w:spacing w:line="240" w:lineRule="exact"/>
              <w:jc w:val="right"/>
              <w:rPr>
                <w:bCs/>
                <w:color w:val="323232"/>
                <w:sz w:val="20"/>
              </w:rPr>
            </w:pPr>
            <w:r w:rsidRPr="00E253A3">
              <w:rPr>
                <w:bCs/>
                <w:color w:val="323232"/>
                <w:sz w:val="20"/>
              </w:rPr>
              <w:t>5 - 13</w:t>
            </w:r>
          </w:p>
        </w:tc>
        <w:tc>
          <w:tcPr>
            <w:tcW w:w="1165" w:type="dxa"/>
            <w:tcBorders>
              <w:top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22911E" w14:textId="77777777" w:rsidR="00316A08" w:rsidRPr="00E253A3" w:rsidRDefault="00316A08" w:rsidP="00316A08">
            <w:pPr>
              <w:spacing w:line="240" w:lineRule="exact"/>
              <w:jc w:val="right"/>
              <w:rPr>
                <w:bCs/>
                <w:sz w:val="20"/>
              </w:rPr>
            </w:pPr>
            <w:r w:rsidRPr="00E253A3">
              <w:rPr>
                <w:bCs/>
                <w:sz w:val="20"/>
              </w:rPr>
              <w:t>5 - 13</w:t>
            </w:r>
          </w:p>
        </w:tc>
        <w:tc>
          <w:tcPr>
            <w:tcW w:w="1089" w:type="dxa"/>
            <w:tcBorders>
              <w:top w:val="nil"/>
            </w:tcBorders>
            <w:shd w:val="clear" w:color="auto" w:fill="FFFFFF"/>
          </w:tcPr>
          <w:p w14:paraId="042635D8" w14:textId="77777777" w:rsidR="00316A08" w:rsidRPr="00316A08" w:rsidRDefault="00316A08" w:rsidP="00316A08">
            <w:pPr>
              <w:spacing w:line="240" w:lineRule="exact"/>
              <w:ind w:right="72"/>
              <w:jc w:val="right"/>
              <w:rPr>
                <w:b/>
                <w:sz w:val="20"/>
              </w:rPr>
            </w:pPr>
            <w:r w:rsidRPr="00E253A3">
              <w:rPr>
                <w:bCs/>
                <w:sz w:val="20"/>
              </w:rPr>
              <w:t>5 - 13</w:t>
            </w:r>
          </w:p>
        </w:tc>
      </w:tr>
      <w:tr w:rsidR="00316A08" w:rsidRPr="00E253A3" w14:paraId="01D44DC6" w14:textId="77777777" w:rsidTr="00316A08">
        <w:trPr>
          <w:trHeight w:val="300"/>
        </w:trPr>
        <w:tc>
          <w:tcPr>
            <w:tcW w:w="3365" w:type="dxa"/>
            <w:tcBorders>
              <w:top w:val="nil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20" w:type="dxa"/>
            </w:tcMar>
            <w:hideMark/>
          </w:tcPr>
          <w:p w14:paraId="2F8704F2" w14:textId="77777777" w:rsidR="00316A08" w:rsidRPr="00E253A3" w:rsidRDefault="00316A08" w:rsidP="00316A08">
            <w:pPr>
              <w:spacing w:line="240" w:lineRule="exact"/>
              <w:rPr>
                <w:bCs/>
                <w:color w:val="323232"/>
                <w:sz w:val="20"/>
              </w:rPr>
            </w:pPr>
            <w:r w:rsidRPr="00E253A3">
              <w:rPr>
                <w:bCs/>
                <w:color w:val="323232"/>
                <w:sz w:val="20"/>
              </w:rPr>
              <w:t>Max. Schnitttiefe in Stahl (mm)</w:t>
            </w:r>
          </w:p>
        </w:tc>
        <w:tc>
          <w:tcPr>
            <w:tcW w:w="1285" w:type="dxa"/>
            <w:tcBorders>
              <w:top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D58C5B" w14:textId="77777777" w:rsidR="00316A08" w:rsidRPr="00E253A3" w:rsidRDefault="00316A08" w:rsidP="00316A08">
            <w:pPr>
              <w:spacing w:line="240" w:lineRule="exact"/>
              <w:jc w:val="right"/>
              <w:rPr>
                <w:bCs/>
                <w:color w:val="323232"/>
                <w:sz w:val="20"/>
              </w:rPr>
            </w:pPr>
            <w:r w:rsidRPr="00E253A3">
              <w:rPr>
                <w:bCs/>
                <w:color w:val="323232"/>
                <w:sz w:val="20"/>
              </w:rPr>
              <w:t>5 - 13</w:t>
            </w:r>
          </w:p>
        </w:tc>
        <w:tc>
          <w:tcPr>
            <w:tcW w:w="1165" w:type="dxa"/>
            <w:tcBorders>
              <w:top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767419" w14:textId="77777777" w:rsidR="00316A08" w:rsidRPr="00E253A3" w:rsidRDefault="00316A08" w:rsidP="00316A08">
            <w:pPr>
              <w:spacing w:line="240" w:lineRule="exact"/>
              <w:jc w:val="right"/>
              <w:rPr>
                <w:bCs/>
                <w:sz w:val="20"/>
              </w:rPr>
            </w:pPr>
            <w:r w:rsidRPr="00E253A3">
              <w:rPr>
                <w:bCs/>
                <w:sz w:val="20"/>
              </w:rPr>
              <w:t>5 - 13</w:t>
            </w:r>
          </w:p>
        </w:tc>
        <w:tc>
          <w:tcPr>
            <w:tcW w:w="1089" w:type="dxa"/>
            <w:tcBorders>
              <w:top w:val="nil"/>
            </w:tcBorders>
            <w:shd w:val="clear" w:color="auto" w:fill="FFFFFF"/>
          </w:tcPr>
          <w:p w14:paraId="1B50B249" w14:textId="77777777" w:rsidR="00316A08" w:rsidRPr="00316A08" w:rsidRDefault="00316A08" w:rsidP="00316A08">
            <w:pPr>
              <w:spacing w:line="240" w:lineRule="exact"/>
              <w:ind w:right="72"/>
              <w:jc w:val="right"/>
              <w:rPr>
                <w:b/>
                <w:sz w:val="20"/>
              </w:rPr>
            </w:pPr>
            <w:r w:rsidRPr="00E253A3">
              <w:rPr>
                <w:bCs/>
                <w:sz w:val="20"/>
              </w:rPr>
              <w:t>5 - 13</w:t>
            </w:r>
          </w:p>
        </w:tc>
      </w:tr>
      <w:tr w:rsidR="00316A08" w:rsidRPr="00E253A3" w14:paraId="1FBFA1DF" w14:textId="77777777" w:rsidTr="00316A08">
        <w:trPr>
          <w:trHeight w:val="300"/>
        </w:trPr>
        <w:tc>
          <w:tcPr>
            <w:tcW w:w="3365" w:type="dxa"/>
            <w:tcBorders>
              <w:top w:val="nil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20" w:type="dxa"/>
            </w:tcMar>
            <w:hideMark/>
          </w:tcPr>
          <w:p w14:paraId="48B861B2" w14:textId="77777777" w:rsidR="00316A08" w:rsidRPr="00E253A3" w:rsidRDefault="00316A08" w:rsidP="00316A08">
            <w:pPr>
              <w:spacing w:line="240" w:lineRule="exact"/>
              <w:rPr>
                <w:bCs/>
                <w:color w:val="323232"/>
                <w:sz w:val="20"/>
              </w:rPr>
            </w:pPr>
            <w:r w:rsidRPr="00E253A3">
              <w:rPr>
                <w:bCs/>
                <w:color w:val="323232"/>
                <w:sz w:val="20"/>
              </w:rPr>
              <w:t>Schnittkapazität Edelstahl (mm)</w:t>
            </w:r>
          </w:p>
        </w:tc>
        <w:tc>
          <w:tcPr>
            <w:tcW w:w="1285" w:type="dxa"/>
            <w:tcBorders>
              <w:top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88CF6B" w14:textId="77777777" w:rsidR="00316A08" w:rsidRPr="00E253A3" w:rsidRDefault="00316A08" w:rsidP="00316A08">
            <w:pPr>
              <w:spacing w:line="240" w:lineRule="exact"/>
              <w:jc w:val="right"/>
              <w:rPr>
                <w:bCs/>
                <w:color w:val="323232"/>
                <w:sz w:val="20"/>
              </w:rPr>
            </w:pPr>
            <w:r w:rsidRPr="00E253A3">
              <w:rPr>
                <w:bCs/>
                <w:color w:val="323232"/>
                <w:sz w:val="20"/>
              </w:rPr>
              <w:t>5 - 13</w:t>
            </w:r>
          </w:p>
        </w:tc>
        <w:tc>
          <w:tcPr>
            <w:tcW w:w="1165" w:type="dxa"/>
            <w:tcBorders>
              <w:top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8A1FF9" w14:textId="77777777" w:rsidR="00316A08" w:rsidRPr="00E253A3" w:rsidRDefault="00316A08" w:rsidP="00316A08">
            <w:pPr>
              <w:spacing w:line="240" w:lineRule="exact"/>
              <w:jc w:val="right"/>
              <w:rPr>
                <w:bCs/>
                <w:sz w:val="20"/>
              </w:rPr>
            </w:pPr>
            <w:r w:rsidRPr="00E253A3">
              <w:rPr>
                <w:bCs/>
                <w:sz w:val="20"/>
              </w:rPr>
              <w:t>5 - 13</w:t>
            </w:r>
          </w:p>
        </w:tc>
        <w:tc>
          <w:tcPr>
            <w:tcW w:w="1089" w:type="dxa"/>
            <w:tcBorders>
              <w:top w:val="nil"/>
            </w:tcBorders>
            <w:shd w:val="clear" w:color="auto" w:fill="FFFFFF"/>
          </w:tcPr>
          <w:p w14:paraId="20F98713" w14:textId="77777777" w:rsidR="00316A08" w:rsidRPr="00316A08" w:rsidRDefault="00316A08" w:rsidP="00316A08">
            <w:pPr>
              <w:spacing w:line="240" w:lineRule="exact"/>
              <w:ind w:right="72"/>
              <w:jc w:val="right"/>
              <w:rPr>
                <w:b/>
                <w:sz w:val="20"/>
              </w:rPr>
            </w:pPr>
            <w:r w:rsidRPr="00E253A3">
              <w:rPr>
                <w:bCs/>
                <w:sz w:val="20"/>
              </w:rPr>
              <w:t>5 - 13</w:t>
            </w:r>
          </w:p>
        </w:tc>
      </w:tr>
      <w:tr w:rsidR="00316A08" w:rsidRPr="00E253A3" w14:paraId="11C0ECB6" w14:textId="77777777" w:rsidTr="00316A08">
        <w:trPr>
          <w:trHeight w:val="300"/>
        </w:trPr>
        <w:tc>
          <w:tcPr>
            <w:tcW w:w="3365" w:type="dxa"/>
            <w:tcBorders>
              <w:top w:val="nil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20" w:type="dxa"/>
            </w:tcMar>
            <w:hideMark/>
          </w:tcPr>
          <w:p w14:paraId="15B1A3CF" w14:textId="77777777" w:rsidR="00316A08" w:rsidRPr="00E253A3" w:rsidRDefault="00316A08" w:rsidP="00316A08">
            <w:pPr>
              <w:spacing w:line="240" w:lineRule="exact"/>
              <w:rPr>
                <w:bCs/>
                <w:color w:val="323232"/>
                <w:sz w:val="20"/>
              </w:rPr>
            </w:pPr>
            <w:r w:rsidRPr="00E253A3">
              <w:rPr>
                <w:bCs/>
                <w:color w:val="323232"/>
                <w:sz w:val="20"/>
              </w:rPr>
              <w:t>Schnittlänge (mm)</w:t>
            </w:r>
          </w:p>
        </w:tc>
        <w:tc>
          <w:tcPr>
            <w:tcW w:w="1285" w:type="dxa"/>
            <w:tcBorders>
              <w:top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E5EDBA" w14:textId="77777777" w:rsidR="00316A08" w:rsidRPr="00E253A3" w:rsidRDefault="00316A08" w:rsidP="00316A08">
            <w:pPr>
              <w:spacing w:line="240" w:lineRule="exact"/>
              <w:jc w:val="right"/>
              <w:rPr>
                <w:bCs/>
                <w:color w:val="323232"/>
                <w:sz w:val="20"/>
              </w:rPr>
            </w:pPr>
            <w:r w:rsidRPr="00E253A3">
              <w:rPr>
                <w:bCs/>
                <w:color w:val="323232"/>
                <w:sz w:val="20"/>
              </w:rPr>
              <w:t>150</w:t>
            </w:r>
          </w:p>
        </w:tc>
        <w:tc>
          <w:tcPr>
            <w:tcW w:w="1165" w:type="dxa"/>
            <w:tcBorders>
              <w:top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DDD4E2" w14:textId="77777777" w:rsidR="00316A08" w:rsidRPr="00E253A3" w:rsidRDefault="00316A08" w:rsidP="00316A08">
            <w:pPr>
              <w:spacing w:line="240" w:lineRule="exact"/>
              <w:jc w:val="right"/>
              <w:rPr>
                <w:bCs/>
                <w:sz w:val="20"/>
              </w:rPr>
            </w:pPr>
            <w:r w:rsidRPr="00E253A3">
              <w:rPr>
                <w:bCs/>
                <w:sz w:val="20"/>
              </w:rPr>
              <w:t>230</w:t>
            </w:r>
          </w:p>
        </w:tc>
        <w:tc>
          <w:tcPr>
            <w:tcW w:w="1089" w:type="dxa"/>
            <w:tcBorders>
              <w:top w:val="nil"/>
            </w:tcBorders>
            <w:shd w:val="clear" w:color="auto" w:fill="FFFFFF"/>
          </w:tcPr>
          <w:p w14:paraId="763CB38C" w14:textId="77777777" w:rsidR="00316A08" w:rsidRPr="00316A08" w:rsidRDefault="00316A08" w:rsidP="00316A08">
            <w:pPr>
              <w:spacing w:line="240" w:lineRule="exact"/>
              <w:ind w:right="72"/>
              <w:jc w:val="right"/>
              <w:rPr>
                <w:b/>
                <w:sz w:val="20"/>
              </w:rPr>
            </w:pPr>
            <w:r>
              <w:rPr>
                <w:bCs/>
                <w:sz w:val="20"/>
              </w:rPr>
              <w:t>300</w:t>
            </w:r>
          </w:p>
        </w:tc>
      </w:tr>
    </w:tbl>
    <w:p w14:paraId="3145B67E" w14:textId="77777777" w:rsidR="00316A08" w:rsidRDefault="00316A08" w:rsidP="00316A08">
      <w:pPr>
        <w:spacing w:line="360" w:lineRule="auto"/>
        <w:rPr>
          <w:sz w:val="22"/>
          <w:szCs w:val="22"/>
        </w:rPr>
      </w:pPr>
    </w:p>
    <w:p w14:paraId="5A76D856" w14:textId="77777777" w:rsidR="00316A08" w:rsidRDefault="00316A08" w:rsidP="00316A08">
      <w:pPr>
        <w:spacing w:line="360" w:lineRule="auto"/>
        <w:rPr>
          <w:sz w:val="22"/>
          <w:szCs w:val="22"/>
        </w:rPr>
      </w:pPr>
    </w:p>
    <w:p w14:paraId="1C564FE8" w14:textId="77777777" w:rsidR="00316A08" w:rsidRDefault="00316A08" w:rsidP="00C90E58">
      <w:pPr>
        <w:spacing w:line="360" w:lineRule="auto"/>
        <w:rPr>
          <w:sz w:val="22"/>
          <w:szCs w:val="22"/>
        </w:rPr>
      </w:pPr>
    </w:p>
    <w:p w14:paraId="36444A01" w14:textId="77777777" w:rsidR="00316A08" w:rsidRDefault="00316A08" w:rsidP="00C90E58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74D7D037" w14:textId="77777777" w:rsidR="00B221E0" w:rsidRDefault="00FF0E5C" w:rsidP="00816E18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Fotos: Milwaukee</w:t>
      </w:r>
    </w:p>
    <w:p w14:paraId="165BD59B" w14:textId="16E97759" w:rsidR="003B6D35" w:rsidRDefault="00F541DC" w:rsidP="00816E18">
      <w:pPr>
        <w:spacing w:line="360" w:lineRule="auto"/>
        <w:rPr>
          <w:sz w:val="22"/>
          <w:szCs w:val="22"/>
        </w:rPr>
      </w:pPr>
      <w:r>
        <w:rPr>
          <w:noProof/>
        </w:rPr>
        <w:drawing>
          <wp:inline distT="0" distB="0" distL="0" distR="0" wp14:anchorId="205CC84A" wp14:editId="089D5599">
            <wp:extent cx="2876550" cy="1924050"/>
            <wp:effectExtent l="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1E4617" w14:textId="77777777" w:rsidR="00C60AF3" w:rsidRDefault="008A18A9" w:rsidP="00816E18">
      <w:pPr>
        <w:spacing w:line="360" w:lineRule="auto"/>
        <w:rPr>
          <w:i/>
          <w:sz w:val="20"/>
        </w:rPr>
      </w:pPr>
      <w:r>
        <w:rPr>
          <w:i/>
          <w:sz w:val="20"/>
        </w:rPr>
        <w:t xml:space="preserve">Torch </w:t>
      </w:r>
      <w:r w:rsidR="00D245D9">
        <w:rPr>
          <w:i/>
          <w:sz w:val="20"/>
        </w:rPr>
        <w:t xml:space="preserve">Nitrus Carbide-Säbelsägeblätter </w:t>
      </w:r>
      <w:r w:rsidR="00956514">
        <w:rPr>
          <w:i/>
          <w:sz w:val="20"/>
        </w:rPr>
        <w:t xml:space="preserve">verbessern </w:t>
      </w:r>
      <w:r w:rsidR="00D245D9">
        <w:rPr>
          <w:i/>
          <w:sz w:val="20"/>
        </w:rPr>
        <w:t>deutlich die Produktivität bei Demontagen und ähnlich zeit</w:t>
      </w:r>
      <w:r w:rsidR="00956514">
        <w:rPr>
          <w:i/>
          <w:sz w:val="20"/>
        </w:rPr>
        <w:t xml:space="preserve">- und materialintensiven </w:t>
      </w:r>
      <w:r w:rsidR="00D245D9">
        <w:rPr>
          <w:i/>
          <w:sz w:val="20"/>
        </w:rPr>
        <w:t>Arbeiten.</w:t>
      </w:r>
    </w:p>
    <w:p w14:paraId="1073D5B2" w14:textId="77777777" w:rsidR="008D1071" w:rsidRPr="00956514" w:rsidRDefault="008D1071" w:rsidP="008D1071">
      <w:pPr>
        <w:spacing w:line="360" w:lineRule="auto"/>
        <w:rPr>
          <w:i/>
          <w:sz w:val="20"/>
        </w:rPr>
      </w:pPr>
    </w:p>
    <w:p w14:paraId="46D9D260" w14:textId="57ED0C7E" w:rsidR="008D1071" w:rsidRDefault="00F541DC" w:rsidP="008D1071">
      <w:pPr>
        <w:spacing w:line="360" w:lineRule="auto"/>
        <w:rPr>
          <w:i/>
          <w:sz w:val="20"/>
        </w:rPr>
      </w:pPr>
      <w:r w:rsidRPr="00956514">
        <w:rPr>
          <w:i/>
          <w:noProof/>
          <w:sz w:val="20"/>
        </w:rPr>
        <w:drawing>
          <wp:inline distT="0" distB="0" distL="0" distR="0" wp14:anchorId="227C7DAD" wp14:editId="57B50E29">
            <wp:extent cx="2876550" cy="1924050"/>
            <wp:effectExtent l="0" t="0" r="0" b="0"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687602" w14:textId="77777777" w:rsidR="008D1071" w:rsidRDefault="008D1071" w:rsidP="008D1071">
      <w:pPr>
        <w:spacing w:line="360" w:lineRule="auto"/>
        <w:rPr>
          <w:i/>
          <w:sz w:val="20"/>
        </w:rPr>
      </w:pPr>
      <w:r>
        <w:rPr>
          <w:i/>
          <w:sz w:val="20"/>
        </w:rPr>
        <w:t>Torch Nitrus Carbide-Säbelsägeblätter können beim Schneiden von Gusseisen- und Metallrohren ebenso zum Einsatz kommen wie bei Werkstücken aus NE-Metall und Edelstahl.</w:t>
      </w:r>
    </w:p>
    <w:p w14:paraId="1B83E8FF" w14:textId="77777777" w:rsidR="00956514" w:rsidRDefault="00956514" w:rsidP="00816E18">
      <w:pPr>
        <w:spacing w:line="360" w:lineRule="auto"/>
        <w:rPr>
          <w:i/>
          <w:sz w:val="20"/>
        </w:rPr>
      </w:pPr>
    </w:p>
    <w:p w14:paraId="2E8E2FF1" w14:textId="3420F7FB" w:rsidR="00956514" w:rsidRPr="00956514" w:rsidRDefault="00F541DC" w:rsidP="00816E18">
      <w:pPr>
        <w:spacing w:line="360" w:lineRule="auto"/>
        <w:rPr>
          <w:i/>
          <w:sz w:val="20"/>
        </w:rPr>
      </w:pPr>
      <w:r w:rsidRPr="00956514">
        <w:rPr>
          <w:i/>
          <w:noProof/>
          <w:sz w:val="20"/>
        </w:rPr>
        <w:drawing>
          <wp:inline distT="0" distB="0" distL="0" distR="0" wp14:anchorId="1CEE1191" wp14:editId="5DE1A26C">
            <wp:extent cx="2876550" cy="1924050"/>
            <wp:effectExtent l="0" t="0" r="0" b="0"/>
            <wp:docPr id="3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D1F7F6" w14:textId="1E4D73F3" w:rsidR="00956514" w:rsidRPr="00956514" w:rsidRDefault="00956514" w:rsidP="00816E18">
      <w:pPr>
        <w:spacing w:line="360" w:lineRule="auto"/>
        <w:rPr>
          <w:i/>
          <w:sz w:val="20"/>
        </w:rPr>
      </w:pPr>
      <w:r w:rsidRPr="00956514">
        <w:rPr>
          <w:i/>
          <w:sz w:val="20"/>
        </w:rPr>
        <w:t>Ein</w:t>
      </w:r>
      <w:r w:rsidR="00DB2256">
        <w:rPr>
          <w:i/>
          <w:sz w:val="20"/>
        </w:rPr>
        <w:t>e</w:t>
      </w:r>
      <w:r w:rsidRPr="00956514">
        <w:rPr>
          <w:i/>
          <w:sz w:val="20"/>
        </w:rPr>
        <w:t xml:space="preserve"> spezielle </w:t>
      </w:r>
      <w:r w:rsidR="00DB2256">
        <w:rPr>
          <w:i/>
          <w:sz w:val="20"/>
        </w:rPr>
        <w:t xml:space="preserve">Legierung </w:t>
      </w:r>
      <w:r w:rsidRPr="00956514">
        <w:rPr>
          <w:i/>
          <w:sz w:val="20"/>
        </w:rPr>
        <w:t>sorgt für eine bis zu dreimal längere Haltbarkeit im Vergleich zu herkömmlichen HM-Säbelsägeblättern.</w:t>
      </w:r>
    </w:p>
    <w:sectPr w:rsidR="00956514" w:rsidRPr="00956514" w:rsidSect="00D245D9">
      <w:pgSz w:w="11907" w:h="16840"/>
      <w:pgMar w:top="1418" w:right="3005" w:bottom="1701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2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A9B"/>
    <w:rsid w:val="00004941"/>
    <w:rsid w:val="000057BC"/>
    <w:rsid w:val="00007B8B"/>
    <w:rsid w:val="00010AB0"/>
    <w:rsid w:val="000266EE"/>
    <w:rsid w:val="00055E7C"/>
    <w:rsid w:val="00064190"/>
    <w:rsid w:val="00077F53"/>
    <w:rsid w:val="000B0A6C"/>
    <w:rsid w:val="000D2453"/>
    <w:rsid w:val="000D254D"/>
    <w:rsid w:val="000D280B"/>
    <w:rsid w:val="000D6ED7"/>
    <w:rsid w:val="000E7FD9"/>
    <w:rsid w:val="000F1229"/>
    <w:rsid w:val="001050DF"/>
    <w:rsid w:val="001279C2"/>
    <w:rsid w:val="00162B9F"/>
    <w:rsid w:val="00170ED1"/>
    <w:rsid w:val="00183EB1"/>
    <w:rsid w:val="00196ACC"/>
    <w:rsid w:val="001B69DB"/>
    <w:rsid w:val="001B6CB3"/>
    <w:rsid w:val="001B6E3B"/>
    <w:rsid w:val="001E46C2"/>
    <w:rsid w:val="0023175B"/>
    <w:rsid w:val="00253CCF"/>
    <w:rsid w:val="00257AFD"/>
    <w:rsid w:val="002763AD"/>
    <w:rsid w:val="00293666"/>
    <w:rsid w:val="002B2D0A"/>
    <w:rsid w:val="002B368C"/>
    <w:rsid w:val="002B79FE"/>
    <w:rsid w:val="002D3995"/>
    <w:rsid w:val="002D6F6F"/>
    <w:rsid w:val="00313B4A"/>
    <w:rsid w:val="00316A08"/>
    <w:rsid w:val="00322E2D"/>
    <w:rsid w:val="003234DE"/>
    <w:rsid w:val="00333E8C"/>
    <w:rsid w:val="003578EF"/>
    <w:rsid w:val="003714F4"/>
    <w:rsid w:val="003836B2"/>
    <w:rsid w:val="003B6AEA"/>
    <w:rsid w:val="003B6D35"/>
    <w:rsid w:val="003D75BC"/>
    <w:rsid w:val="0040498D"/>
    <w:rsid w:val="004155EE"/>
    <w:rsid w:val="00416CB6"/>
    <w:rsid w:val="00423F15"/>
    <w:rsid w:val="00451DB7"/>
    <w:rsid w:val="00452099"/>
    <w:rsid w:val="00470B8A"/>
    <w:rsid w:val="004727E8"/>
    <w:rsid w:val="004733B2"/>
    <w:rsid w:val="00485E60"/>
    <w:rsid w:val="00487E9A"/>
    <w:rsid w:val="004A3F91"/>
    <w:rsid w:val="004C50AB"/>
    <w:rsid w:val="004E1125"/>
    <w:rsid w:val="00504FB3"/>
    <w:rsid w:val="00561F26"/>
    <w:rsid w:val="00565ADB"/>
    <w:rsid w:val="00577AD5"/>
    <w:rsid w:val="005C0863"/>
    <w:rsid w:val="005C1F5C"/>
    <w:rsid w:val="00602A08"/>
    <w:rsid w:val="0060490D"/>
    <w:rsid w:val="0062702B"/>
    <w:rsid w:val="0066249C"/>
    <w:rsid w:val="00676A13"/>
    <w:rsid w:val="0069035D"/>
    <w:rsid w:val="006B6EC2"/>
    <w:rsid w:val="006D653A"/>
    <w:rsid w:val="006E258F"/>
    <w:rsid w:val="00741727"/>
    <w:rsid w:val="00751767"/>
    <w:rsid w:val="007667AB"/>
    <w:rsid w:val="00784B9C"/>
    <w:rsid w:val="007929F4"/>
    <w:rsid w:val="00792CBB"/>
    <w:rsid w:val="007A561C"/>
    <w:rsid w:val="007B2E30"/>
    <w:rsid w:val="007C69FE"/>
    <w:rsid w:val="007D4F8E"/>
    <w:rsid w:val="007E0A93"/>
    <w:rsid w:val="007E0F23"/>
    <w:rsid w:val="007F2B12"/>
    <w:rsid w:val="007F31A8"/>
    <w:rsid w:val="00802EA2"/>
    <w:rsid w:val="00816E18"/>
    <w:rsid w:val="00825A9B"/>
    <w:rsid w:val="008303DA"/>
    <w:rsid w:val="00831433"/>
    <w:rsid w:val="008401C2"/>
    <w:rsid w:val="0084745A"/>
    <w:rsid w:val="00873F68"/>
    <w:rsid w:val="00875B73"/>
    <w:rsid w:val="008A18A9"/>
    <w:rsid w:val="008D1071"/>
    <w:rsid w:val="008D4DE8"/>
    <w:rsid w:val="008E527B"/>
    <w:rsid w:val="009001CD"/>
    <w:rsid w:val="00942D22"/>
    <w:rsid w:val="0094635C"/>
    <w:rsid w:val="00956514"/>
    <w:rsid w:val="009835F3"/>
    <w:rsid w:val="00996588"/>
    <w:rsid w:val="009A1880"/>
    <w:rsid w:val="009A6665"/>
    <w:rsid w:val="009C2985"/>
    <w:rsid w:val="009C35FD"/>
    <w:rsid w:val="009C6872"/>
    <w:rsid w:val="009F4143"/>
    <w:rsid w:val="00A274A9"/>
    <w:rsid w:val="00A31754"/>
    <w:rsid w:val="00A440FD"/>
    <w:rsid w:val="00A55742"/>
    <w:rsid w:val="00AA3D02"/>
    <w:rsid w:val="00AA7E9F"/>
    <w:rsid w:val="00AC3ECB"/>
    <w:rsid w:val="00AE5B51"/>
    <w:rsid w:val="00B221E0"/>
    <w:rsid w:val="00B22850"/>
    <w:rsid w:val="00B33594"/>
    <w:rsid w:val="00B54E64"/>
    <w:rsid w:val="00B854FA"/>
    <w:rsid w:val="00B904E1"/>
    <w:rsid w:val="00B96D95"/>
    <w:rsid w:val="00BA7508"/>
    <w:rsid w:val="00BC4AF3"/>
    <w:rsid w:val="00BD39D8"/>
    <w:rsid w:val="00BD6F8B"/>
    <w:rsid w:val="00BE02D0"/>
    <w:rsid w:val="00C00783"/>
    <w:rsid w:val="00C07778"/>
    <w:rsid w:val="00C257F3"/>
    <w:rsid w:val="00C26E53"/>
    <w:rsid w:val="00C47955"/>
    <w:rsid w:val="00C51E7F"/>
    <w:rsid w:val="00C5287E"/>
    <w:rsid w:val="00C56468"/>
    <w:rsid w:val="00C60AF3"/>
    <w:rsid w:val="00C73E34"/>
    <w:rsid w:val="00C74F75"/>
    <w:rsid w:val="00C90E58"/>
    <w:rsid w:val="00C93608"/>
    <w:rsid w:val="00CA4D26"/>
    <w:rsid w:val="00CB5661"/>
    <w:rsid w:val="00CD6160"/>
    <w:rsid w:val="00D0357F"/>
    <w:rsid w:val="00D11441"/>
    <w:rsid w:val="00D1290D"/>
    <w:rsid w:val="00D245D9"/>
    <w:rsid w:val="00D26A0B"/>
    <w:rsid w:val="00D50382"/>
    <w:rsid w:val="00D62198"/>
    <w:rsid w:val="00D70E1F"/>
    <w:rsid w:val="00D801AB"/>
    <w:rsid w:val="00D95DE1"/>
    <w:rsid w:val="00DA3AD0"/>
    <w:rsid w:val="00DB2256"/>
    <w:rsid w:val="00DC02AB"/>
    <w:rsid w:val="00DD52BD"/>
    <w:rsid w:val="00E00CEC"/>
    <w:rsid w:val="00E12090"/>
    <w:rsid w:val="00E37495"/>
    <w:rsid w:val="00E673FE"/>
    <w:rsid w:val="00E74093"/>
    <w:rsid w:val="00E75C9C"/>
    <w:rsid w:val="00E83CBB"/>
    <w:rsid w:val="00EE226A"/>
    <w:rsid w:val="00F14636"/>
    <w:rsid w:val="00F23D71"/>
    <w:rsid w:val="00F322D9"/>
    <w:rsid w:val="00F35540"/>
    <w:rsid w:val="00F4656D"/>
    <w:rsid w:val="00F541DC"/>
    <w:rsid w:val="00F54CF0"/>
    <w:rsid w:val="00F73AB1"/>
    <w:rsid w:val="00FA23C2"/>
    <w:rsid w:val="00FA29E6"/>
    <w:rsid w:val="00FC3DF1"/>
    <w:rsid w:val="00FE0983"/>
    <w:rsid w:val="00FE1D5A"/>
    <w:rsid w:val="00FF0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4DB17EB1"/>
  <w15:chartTrackingRefBased/>
  <w15:docId w15:val="{DA7850DE-F569-4087-B171-5F00A63DC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kern w:val="28"/>
      <w:sz w:val="28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Sprechblasentext">
    <w:name w:val="Balloon Text"/>
    <w:basedOn w:val="Standard"/>
    <w:semiHidden/>
    <w:rsid w:val="00162B9F"/>
    <w:rPr>
      <w:rFonts w:ascii="Tahoma" w:hAnsi="Tahoma" w:cs="Tahoma"/>
      <w:sz w:val="16"/>
      <w:szCs w:val="16"/>
    </w:rPr>
  </w:style>
  <w:style w:type="character" w:styleId="Hyperlink">
    <w:name w:val="Hyperlink"/>
    <w:rsid w:val="00D50382"/>
    <w:rPr>
      <w:color w:val="0000FF"/>
      <w:u w:val="single"/>
    </w:rPr>
  </w:style>
  <w:style w:type="paragraph" w:styleId="StandardWeb">
    <w:name w:val="Normal (Web)"/>
    <w:basedOn w:val="Standard"/>
    <w:rsid w:val="00055E7C"/>
    <w:pPr>
      <w:spacing w:before="100" w:beforeAutospacing="1" w:after="100" w:afterAutospacing="1"/>
    </w:pPr>
    <w:rPr>
      <w:rFonts w:eastAsia="SimSun"/>
      <w:szCs w:val="24"/>
      <w:lang w:eastAsia="zh-CN"/>
    </w:rPr>
  </w:style>
  <w:style w:type="table" w:styleId="Tabellenraster">
    <w:name w:val="Table Grid"/>
    <w:basedOn w:val="NormaleTabelle"/>
    <w:uiPriority w:val="39"/>
    <w:rsid w:val="007517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chtaufgelsteErwhnung">
    <w:name w:val="Unresolved Mention"/>
    <w:uiPriority w:val="99"/>
    <w:semiHidden/>
    <w:unhideWhenUsed/>
    <w:rsid w:val="00D245D9"/>
    <w:rPr>
      <w:color w:val="605E5C"/>
      <w:shd w:val="clear" w:color="auto" w:fill="E1DFDD"/>
    </w:rPr>
  </w:style>
  <w:style w:type="character" w:styleId="Kommentarzeichen">
    <w:name w:val="annotation reference"/>
    <w:uiPriority w:val="99"/>
    <w:semiHidden/>
    <w:unhideWhenUsed/>
    <w:rsid w:val="00C4795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47955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47955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47955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C479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59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y-Admin\AppData\Roaming\Microsoft\Vorlagen\PtA%20A+M%20Langtext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D59A2C-2BC9-4D48-B546-09A14EEB0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PtA A+M Langtext.dot</Template>
  <TotalTime>0</TotalTime>
  <Pages>3</Pages>
  <Words>445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Presse-Text</vt:lpstr>
    </vt:vector>
  </TitlesOfParts>
  <Company>Pressebüro</Company>
  <LinksUpToDate>false</LinksUpToDate>
  <CharactersWithSpaces>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Presse-Text</dc:title>
  <dc:subject/>
  <dc:creator>Kay-Admin</dc:creator>
  <cp:keywords/>
  <dc:description/>
  <cp:lastModifiedBy>Kay Müller</cp:lastModifiedBy>
  <cp:revision>2</cp:revision>
  <cp:lastPrinted>2018-10-11T12:12:00Z</cp:lastPrinted>
  <dcterms:created xsi:type="dcterms:W3CDTF">2021-01-12T12:33:00Z</dcterms:created>
  <dcterms:modified xsi:type="dcterms:W3CDTF">2021-01-12T12:33:00Z</dcterms:modified>
</cp:coreProperties>
</file>