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5FC0" w14:textId="77777777" w:rsidR="0069035D" w:rsidRPr="00BB2B4E" w:rsidRDefault="00022B34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FD0773" wp14:editId="2E13AE7B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11325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0BF82865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A3255C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081177C8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12CE7E2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2C893BB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3D84379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4AA1714B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07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pNgg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" o:allowincell="f" stroked="f">
                <v:textbox>
                  <w:txbxContent>
                    <w:p w14:paraId="0B711325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0BF82865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A3255C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081177C8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12CE7E2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2C893BB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3D84379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4AA1714B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20DE8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47AC7039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3D5A069C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41BC6896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74051B21" w14:textId="77777777" w:rsidR="005113A9" w:rsidRPr="00BB2B4E" w:rsidRDefault="005113A9" w:rsidP="00BB2B4E">
      <w:pPr>
        <w:spacing w:line="360" w:lineRule="auto"/>
        <w:rPr>
          <w:sz w:val="22"/>
          <w:szCs w:val="22"/>
        </w:rPr>
      </w:pPr>
    </w:p>
    <w:p w14:paraId="02EEBCA0" w14:textId="77777777" w:rsidR="002C118A" w:rsidRDefault="00223F20" w:rsidP="00BB2B4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Akku-Hobel – kabellos und leistungsstark</w:t>
      </w:r>
    </w:p>
    <w:p w14:paraId="1BC6EE84" w14:textId="77777777" w:rsidR="00C8515C" w:rsidRDefault="00C8515C" w:rsidP="00BB2B4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AEG hat mit dem BHO18BL einen kraftvollen und vielseitig einsetzbaren 18 Volt Akku-Hobel im Programm</w:t>
      </w:r>
    </w:p>
    <w:p w14:paraId="39B8EDC3" w14:textId="77777777" w:rsidR="00BB2B4E" w:rsidRPr="00BB2B4E" w:rsidRDefault="00BB2B4E" w:rsidP="00BB2B4E">
      <w:pPr>
        <w:spacing w:line="360" w:lineRule="auto"/>
        <w:rPr>
          <w:sz w:val="22"/>
          <w:szCs w:val="22"/>
        </w:rPr>
      </w:pPr>
    </w:p>
    <w:p w14:paraId="068617FA" w14:textId="77777777" w:rsidR="00082128" w:rsidRDefault="00F46927" w:rsidP="005D2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Leistungsstark und bis ins Detail durchdacht – </w:t>
      </w:r>
      <w:r w:rsidR="00CB4870">
        <w:rPr>
          <w:sz w:val="22"/>
          <w:szCs w:val="22"/>
        </w:rPr>
        <w:t>mit dem</w:t>
      </w:r>
      <w:r>
        <w:rPr>
          <w:sz w:val="22"/>
          <w:szCs w:val="22"/>
        </w:rPr>
        <w:t xml:space="preserve"> 18 Volt Akku-Hobel BHO18BL </w:t>
      </w:r>
      <w:r w:rsidR="00CB4870">
        <w:rPr>
          <w:sz w:val="22"/>
          <w:szCs w:val="22"/>
        </w:rPr>
        <w:t xml:space="preserve">baut </w:t>
      </w:r>
      <w:r>
        <w:rPr>
          <w:sz w:val="22"/>
          <w:szCs w:val="22"/>
        </w:rPr>
        <w:t xml:space="preserve">AEG </w:t>
      </w:r>
      <w:r w:rsidR="00CB4870">
        <w:rPr>
          <w:sz w:val="22"/>
          <w:szCs w:val="22"/>
        </w:rPr>
        <w:t xml:space="preserve">sein kabelloses Programm für Anwender mit professionellem Anspruch weiter aus. </w:t>
      </w:r>
      <w:r w:rsidR="00082128">
        <w:rPr>
          <w:sz w:val="22"/>
          <w:szCs w:val="22"/>
        </w:rPr>
        <w:t xml:space="preserve">Herzstück der Maschine ist ein effizienter, bürstenloser Motor. Seine elektronische Steuerung </w:t>
      </w:r>
      <w:r w:rsidR="004F2C0D">
        <w:rPr>
          <w:sz w:val="22"/>
          <w:szCs w:val="22"/>
        </w:rPr>
        <w:t>ermöglicht</w:t>
      </w:r>
      <w:r w:rsidR="00082128">
        <w:rPr>
          <w:sz w:val="22"/>
          <w:szCs w:val="22"/>
        </w:rPr>
        <w:t xml:space="preserve"> eine optimale Umsetzung der verfügbaren Energie. Das Ergebnis ist ein sehr gleichmäßiges Arbeitsergebnis bei allen Holzmaterialien und Anwendungen vom Materialabtrag auf der Fläche über das Falzhobeln bis zum Kantenfasen.</w:t>
      </w:r>
    </w:p>
    <w:p w14:paraId="615285E5" w14:textId="77777777" w:rsidR="004F2C0D" w:rsidRDefault="004F2C0D" w:rsidP="005D2378">
      <w:pPr>
        <w:spacing w:line="360" w:lineRule="auto"/>
        <w:rPr>
          <w:sz w:val="22"/>
          <w:szCs w:val="22"/>
        </w:rPr>
      </w:pPr>
    </w:p>
    <w:p w14:paraId="35E7853F" w14:textId="77777777" w:rsidR="00153171" w:rsidRDefault="00153171" w:rsidP="005D2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Mit bis zu 16.000 U/min des 82 mm breiten Hobelmessers wird </w:t>
      </w:r>
      <w:r w:rsidR="004F2C0D">
        <w:rPr>
          <w:sz w:val="22"/>
          <w:szCs w:val="22"/>
        </w:rPr>
        <w:t xml:space="preserve">kraftvoll und zügig </w:t>
      </w:r>
      <w:r>
        <w:rPr>
          <w:sz w:val="22"/>
          <w:szCs w:val="22"/>
        </w:rPr>
        <w:t>gearbeitet</w:t>
      </w:r>
      <w:r w:rsidR="004F2C0D">
        <w:rPr>
          <w:sz w:val="22"/>
          <w:szCs w:val="22"/>
        </w:rPr>
        <w:t xml:space="preserve">. Dabei lässt sich </w:t>
      </w:r>
      <w:r w:rsidR="00464636">
        <w:rPr>
          <w:sz w:val="22"/>
          <w:szCs w:val="22"/>
        </w:rPr>
        <w:t>das Gerät</w:t>
      </w:r>
      <w:r w:rsidR="004F2C0D">
        <w:rPr>
          <w:sz w:val="22"/>
          <w:szCs w:val="22"/>
        </w:rPr>
        <w:t xml:space="preserve"> am groß dimensionierten und mit </w:t>
      </w:r>
      <w:proofErr w:type="spellStart"/>
      <w:r w:rsidR="004F2C0D">
        <w:rPr>
          <w:sz w:val="22"/>
          <w:szCs w:val="22"/>
        </w:rPr>
        <w:t>Softgrip</w:t>
      </w:r>
      <w:proofErr w:type="spellEnd"/>
      <w:r w:rsidR="004F2C0D">
        <w:rPr>
          <w:sz w:val="22"/>
          <w:szCs w:val="22"/>
        </w:rPr>
        <w:t>-Auflagen versehenen Bügelgriff sicher und komfortabel führen. Der Ein-/Ausschalter liegt ergonomisch günstig in der Griffzone. Die Tiefeneinstellung erfolgt stufenlos von + 2 bis – 2 mm über einen leicht bedienbaren Drehgriff</w:t>
      </w:r>
      <w:r>
        <w:rPr>
          <w:sz w:val="22"/>
          <w:szCs w:val="22"/>
        </w:rPr>
        <w:t xml:space="preserve"> auf dem Gerät</w:t>
      </w:r>
      <w:r w:rsidR="004F2C0D">
        <w:rPr>
          <w:sz w:val="22"/>
          <w:szCs w:val="22"/>
        </w:rPr>
        <w:t>.</w:t>
      </w:r>
    </w:p>
    <w:p w14:paraId="0DEFA0AD" w14:textId="77777777" w:rsidR="00153171" w:rsidRDefault="00153171" w:rsidP="005D2378">
      <w:pPr>
        <w:spacing w:line="360" w:lineRule="auto"/>
        <w:rPr>
          <w:sz w:val="22"/>
          <w:szCs w:val="22"/>
        </w:rPr>
      </w:pPr>
    </w:p>
    <w:p w14:paraId="3CF3B7B5" w14:textId="77777777" w:rsidR="00153171" w:rsidRDefault="00D91CF1" w:rsidP="005D2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Für beste Kontrolle und Führung beim Kantenfasen besitzt d</w:t>
      </w:r>
      <w:r w:rsidR="00153171">
        <w:rPr>
          <w:sz w:val="22"/>
          <w:szCs w:val="22"/>
        </w:rPr>
        <w:t xml:space="preserve">er Druckgussschuh eine 2,2 mm tiefe Fasenrille. Die von AEG patentierte Funktion der Verstellung der Tiefe in den Minusbereich ermöglicht </w:t>
      </w:r>
      <w:r>
        <w:rPr>
          <w:sz w:val="22"/>
          <w:szCs w:val="22"/>
        </w:rPr>
        <w:t xml:space="preserve">dabei </w:t>
      </w:r>
      <w:r w:rsidR="00153171">
        <w:rPr>
          <w:sz w:val="22"/>
          <w:szCs w:val="22"/>
        </w:rPr>
        <w:t xml:space="preserve">sehr feine Fasen. Falzhobeln </w:t>
      </w:r>
      <w:r w:rsidR="00FB7590">
        <w:rPr>
          <w:sz w:val="22"/>
          <w:szCs w:val="22"/>
        </w:rPr>
        <w:t xml:space="preserve">mit einer Tiefe von bis zu 12,5 mm </w:t>
      </w:r>
      <w:r w:rsidR="00153171">
        <w:rPr>
          <w:sz w:val="22"/>
          <w:szCs w:val="22"/>
        </w:rPr>
        <w:t xml:space="preserve">erleichtert ein </w:t>
      </w:r>
      <w:r w:rsidR="00464636">
        <w:rPr>
          <w:sz w:val="22"/>
          <w:szCs w:val="22"/>
        </w:rPr>
        <w:t xml:space="preserve">einfach </w:t>
      </w:r>
      <w:r w:rsidR="00153171">
        <w:rPr>
          <w:sz w:val="22"/>
          <w:szCs w:val="22"/>
        </w:rPr>
        <w:t>montierbarer Parallelanschlag, der zum Lieferumfang gehört. Praktisch ist der arretierbare Parkschuh</w:t>
      </w:r>
      <w:r w:rsidR="00464636">
        <w:rPr>
          <w:sz w:val="22"/>
          <w:szCs w:val="22"/>
        </w:rPr>
        <w:t>, der in Arbeitspausen Beschädigungen verhindert.</w:t>
      </w:r>
    </w:p>
    <w:p w14:paraId="6CDB70B2" w14:textId="77777777" w:rsidR="00464636" w:rsidRDefault="00464636" w:rsidP="005D2378">
      <w:pPr>
        <w:spacing w:line="360" w:lineRule="auto"/>
        <w:rPr>
          <w:sz w:val="22"/>
          <w:szCs w:val="22"/>
        </w:rPr>
      </w:pPr>
    </w:p>
    <w:p w14:paraId="397F439E" w14:textId="77777777" w:rsidR="00464636" w:rsidRDefault="00464636" w:rsidP="005D23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Um flexibel auf unterschiedliche Arbeitssituationen reagieren zu können, besitzt der Hobel links und rechts jeweils eine Spanauswurföffnung mit </w:t>
      </w:r>
      <w:r>
        <w:rPr>
          <w:sz w:val="22"/>
          <w:szCs w:val="22"/>
        </w:rPr>
        <w:lastRenderedPageBreak/>
        <w:t>einem Durchmesser von 58 mm. Die Auswahl erfolgt mit einem Umschalter am Handgriff.</w:t>
      </w:r>
      <w:r w:rsidR="00FB7590">
        <w:rPr>
          <w:sz w:val="22"/>
          <w:szCs w:val="22"/>
        </w:rPr>
        <w:t xml:space="preserve"> Der Anschluss eines Absaugsystems ist ebenso möglich wie die Verwendung des mitgelieferten Staubbeutels.</w:t>
      </w:r>
    </w:p>
    <w:p w14:paraId="6251CE0D" w14:textId="77777777" w:rsidR="00FB7590" w:rsidRDefault="00FB7590" w:rsidP="002F4F77">
      <w:pPr>
        <w:spacing w:line="360" w:lineRule="auto"/>
        <w:rPr>
          <w:sz w:val="22"/>
          <w:szCs w:val="22"/>
        </w:rPr>
      </w:pPr>
    </w:p>
    <w:p w14:paraId="775AB7C3" w14:textId="77777777" w:rsidR="001569AE" w:rsidRDefault="005D2378" w:rsidP="002F4F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Akku-Hobel wird im AEG-Akkusystem zunächst ohne Akku und Netzteil angeboten. Zielgruppe sind Anwender, die bereits andere Geräte aus dem AEG</w:t>
      </w:r>
      <w:r w:rsidR="00DB3C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 Volt-System verwenden und ihr Werkzeugsortiment preislich attraktiv erweitern möchten. Alternativ stehen Startersets mit Akkus und Ladegerät zur Verfügung. Zum </w:t>
      </w:r>
      <w:r w:rsidR="001569AE">
        <w:rPr>
          <w:sz w:val="22"/>
          <w:szCs w:val="22"/>
        </w:rPr>
        <w:t xml:space="preserve">Lieferumfang gehören </w:t>
      </w:r>
      <w:r w:rsidR="003A05F2">
        <w:rPr>
          <w:sz w:val="22"/>
          <w:szCs w:val="22"/>
        </w:rPr>
        <w:t>ein Staubbeutel, ein Parallelanschlag und eine Ersatzklinge</w:t>
      </w:r>
      <w:r w:rsidR="001569AE">
        <w:rPr>
          <w:sz w:val="22"/>
          <w:szCs w:val="22"/>
        </w:rPr>
        <w:t>.</w:t>
      </w:r>
    </w:p>
    <w:p w14:paraId="6E48BB62" w14:textId="77777777" w:rsidR="001569AE" w:rsidRDefault="001569AE" w:rsidP="002F4F77">
      <w:pPr>
        <w:spacing w:line="360" w:lineRule="auto"/>
        <w:rPr>
          <w:sz w:val="22"/>
          <w:szCs w:val="22"/>
        </w:rPr>
      </w:pPr>
    </w:p>
    <w:p w14:paraId="77498F11" w14:textId="77777777" w:rsidR="002F4F77" w:rsidRDefault="002F4F77" w:rsidP="002F4F77">
      <w:pPr>
        <w:spacing w:line="360" w:lineRule="auto"/>
        <w:rPr>
          <w:sz w:val="22"/>
          <w:szCs w:val="22"/>
        </w:rPr>
      </w:pPr>
      <w:r w:rsidRPr="00FC39B0">
        <w:rPr>
          <w:sz w:val="22"/>
          <w:szCs w:val="22"/>
        </w:rPr>
        <w:t xml:space="preserve">Standard bei AEG ist eine Garantiezeit von </w:t>
      </w:r>
      <w:r w:rsidR="00327818">
        <w:rPr>
          <w:sz w:val="22"/>
          <w:szCs w:val="22"/>
        </w:rPr>
        <w:t xml:space="preserve">sechs </w:t>
      </w:r>
      <w:r w:rsidRPr="00FC39B0">
        <w:rPr>
          <w:sz w:val="22"/>
          <w:szCs w:val="22"/>
        </w:rPr>
        <w:t>Jahren auf Elektrowerkzeuge</w:t>
      </w:r>
      <w:r w:rsidR="00327818">
        <w:rPr>
          <w:sz w:val="22"/>
          <w:szCs w:val="22"/>
        </w:rPr>
        <w:t xml:space="preserve"> und drei Jahre auf Akkus</w:t>
      </w:r>
      <w:r w:rsidRPr="00FC39B0">
        <w:rPr>
          <w:sz w:val="22"/>
          <w:szCs w:val="22"/>
        </w:rPr>
        <w:t>. Voraussetzung ist die kostenlose Online-Regis</w:t>
      </w:r>
      <w:r w:rsidRPr="00FC39B0">
        <w:rPr>
          <w:sz w:val="22"/>
          <w:szCs w:val="22"/>
        </w:rPr>
        <w:softHyphen/>
        <w:t>trierung</w:t>
      </w:r>
      <w:r>
        <w:rPr>
          <w:sz w:val="22"/>
          <w:szCs w:val="22"/>
        </w:rPr>
        <w:t xml:space="preserve">. </w:t>
      </w:r>
    </w:p>
    <w:p w14:paraId="5C0271BD" w14:textId="77777777" w:rsidR="005113A9" w:rsidRDefault="005113A9" w:rsidP="002F4F77">
      <w:pPr>
        <w:spacing w:line="360" w:lineRule="auto"/>
        <w:rPr>
          <w:sz w:val="22"/>
          <w:szCs w:val="22"/>
        </w:rPr>
      </w:pPr>
    </w:p>
    <w:p w14:paraId="64D25585" w14:textId="77777777" w:rsidR="002F4F77" w:rsidRDefault="002F4F77" w:rsidP="002F4F7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="00761543" w:rsidRPr="00761543">
        <w:rPr>
          <w:sz w:val="22"/>
          <w:szCs w:val="22"/>
        </w:rPr>
        <w:t>www.aeg-powertools.de</w:t>
      </w:r>
    </w:p>
    <w:p w14:paraId="7427C4CD" w14:textId="77777777" w:rsidR="005113A9" w:rsidRDefault="005113A9" w:rsidP="001569AE">
      <w:pPr>
        <w:spacing w:line="360" w:lineRule="auto"/>
        <w:rPr>
          <w:sz w:val="22"/>
          <w:szCs w:val="22"/>
        </w:rPr>
      </w:pPr>
    </w:p>
    <w:p w14:paraId="34B5E57C" w14:textId="77777777" w:rsidR="001569AE" w:rsidRDefault="001569AE" w:rsidP="001569A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603"/>
      </w:tblGrid>
      <w:tr w:rsidR="001569AE" w:rsidRPr="000D72A0" w14:paraId="24154413" w14:textId="77777777" w:rsidTr="004B0A36">
        <w:tc>
          <w:tcPr>
            <w:tcW w:w="6624" w:type="dxa"/>
            <w:gridSpan w:val="2"/>
            <w:shd w:val="clear" w:color="auto" w:fill="auto"/>
          </w:tcPr>
          <w:p w14:paraId="41318703" w14:textId="77777777" w:rsidR="001569AE" w:rsidRPr="000D72A0" w:rsidRDefault="001569AE" w:rsidP="000D72A0">
            <w:pPr>
              <w:spacing w:line="300" w:lineRule="exact"/>
              <w:jc w:val="right"/>
              <w:rPr>
                <w:sz w:val="20"/>
              </w:rPr>
            </w:pPr>
            <w:r w:rsidRPr="000D72A0">
              <w:rPr>
                <w:b/>
                <w:bCs/>
                <w:sz w:val="20"/>
              </w:rPr>
              <w:t>AEG Akku-</w:t>
            </w:r>
            <w:r w:rsidR="004B0A36">
              <w:rPr>
                <w:b/>
                <w:bCs/>
                <w:sz w:val="20"/>
              </w:rPr>
              <w:t>Hobel BHO18BL-0</w:t>
            </w:r>
          </w:p>
        </w:tc>
      </w:tr>
      <w:tr w:rsidR="001569AE" w:rsidRPr="000D72A0" w14:paraId="6E74DD83" w14:textId="77777777" w:rsidTr="004B0A36">
        <w:tc>
          <w:tcPr>
            <w:tcW w:w="3021" w:type="dxa"/>
            <w:shd w:val="clear" w:color="auto" w:fill="auto"/>
          </w:tcPr>
          <w:p w14:paraId="5EE15967" w14:textId="77777777" w:rsidR="001569AE" w:rsidRPr="000D72A0" w:rsidRDefault="001569AE" w:rsidP="000D72A0">
            <w:pPr>
              <w:spacing w:line="300" w:lineRule="exact"/>
              <w:rPr>
                <w:sz w:val="20"/>
              </w:rPr>
            </w:pPr>
            <w:r w:rsidRPr="000D72A0">
              <w:rPr>
                <w:sz w:val="20"/>
              </w:rPr>
              <w:t>Akku-Spannung</w:t>
            </w:r>
          </w:p>
        </w:tc>
        <w:tc>
          <w:tcPr>
            <w:tcW w:w="3603" w:type="dxa"/>
            <w:shd w:val="clear" w:color="auto" w:fill="auto"/>
          </w:tcPr>
          <w:p w14:paraId="062FAFB8" w14:textId="77777777" w:rsidR="001569AE" w:rsidRPr="000D72A0" w:rsidRDefault="001569AE" w:rsidP="000D72A0">
            <w:pPr>
              <w:spacing w:line="300" w:lineRule="exact"/>
              <w:jc w:val="right"/>
              <w:rPr>
                <w:sz w:val="20"/>
              </w:rPr>
            </w:pPr>
            <w:r w:rsidRPr="000D72A0">
              <w:rPr>
                <w:sz w:val="20"/>
              </w:rPr>
              <w:t>18 V</w:t>
            </w:r>
          </w:p>
        </w:tc>
      </w:tr>
      <w:tr w:rsidR="001569AE" w:rsidRPr="000D72A0" w14:paraId="778AD54B" w14:textId="77777777" w:rsidTr="004B0A36">
        <w:tc>
          <w:tcPr>
            <w:tcW w:w="3021" w:type="dxa"/>
            <w:shd w:val="clear" w:color="auto" w:fill="auto"/>
          </w:tcPr>
          <w:p w14:paraId="1462E939" w14:textId="77777777" w:rsidR="001569AE" w:rsidRPr="000D72A0" w:rsidRDefault="001569AE" w:rsidP="000D72A0">
            <w:pPr>
              <w:spacing w:line="300" w:lineRule="exact"/>
              <w:rPr>
                <w:sz w:val="20"/>
              </w:rPr>
            </w:pPr>
            <w:r w:rsidRPr="000D72A0">
              <w:rPr>
                <w:sz w:val="20"/>
              </w:rPr>
              <w:t>Leerlaufdrehzahl</w:t>
            </w:r>
          </w:p>
        </w:tc>
        <w:tc>
          <w:tcPr>
            <w:tcW w:w="3603" w:type="dxa"/>
            <w:shd w:val="clear" w:color="auto" w:fill="auto"/>
          </w:tcPr>
          <w:p w14:paraId="3199E249" w14:textId="77777777" w:rsidR="001569AE" w:rsidRPr="000D72A0" w:rsidRDefault="001569AE" w:rsidP="000D72A0">
            <w:pPr>
              <w:spacing w:line="300" w:lineRule="exact"/>
              <w:jc w:val="right"/>
              <w:rPr>
                <w:sz w:val="20"/>
              </w:rPr>
            </w:pPr>
            <w:r w:rsidRPr="000D72A0">
              <w:rPr>
                <w:sz w:val="20"/>
              </w:rPr>
              <w:t xml:space="preserve">0 – </w:t>
            </w:r>
            <w:r w:rsidR="004B0A36">
              <w:rPr>
                <w:sz w:val="20"/>
              </w:rPr>
              <w:t>16.0</w:t>
            </w:r>
            <w:r w:rsidRPr="000D72A0">
              <w:rPr>
                <w:sz w:val="20"/>
              </w:rPr>
              <w:t>00 min</w:t>
            </w:r>
            <w:r w:rsidRPr="000D72A0">
              <w:rPr>
                <w:rFonts w:ascii="(Asiatische Schriftart verwende" w:hAnsi="(Asiatische Schriftart verwende"/>
                <w:sz w:val="20"/>
                <w:vertAlign w:val="superscript"/>
              </w:rPr>
              <w:t>-1</w:t>
            </w:r>
          </w:p>
        </w:tc>
      </w:tr>
      <w:tr w:rsidR="001569AE" w:rsidRPr="000D72A0" w14:paraId="1F377884" w14:textId="77777777" w:rsidTr="004B0A36">
        <w:tc>
          <w:tcPr>
            <w:tcW w:w="3021" w:type="dxa"/>
            <w:shd w:val="clear" w:color="auto" w:fill="auto"/>
          </w:tcPr>
          <w:p w14:paraId="2425A917" w14:textId="77777777" w:rsidR="001569AE" w:rsidRPr="000D72A0" w:rsidRDefault="00C8515C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Hobelbreite</w:t>
            </w:r>
          </w:p>
        </w:tc>
        <w:tc>
          <w:tcPr>
            <w:tcW w:w="3603" w:type="dxa"/>
            <w:shd w:val="clear" w:color="auto" w:fill="auto"/>
          </w:tcPr>
          <w:p w14:paraId="53D4A129" w14:textId="77777777" w:rsidR="001569AE" w:rsidRPr="000D72A0" w:rsidRDefault="00C8515C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82 mm</w:t>
            </w:r>
          </w:p>
        </w:tc>
      </w:tr>
      <w:tr w:rsidR="001569AE" w:rsidRPr="000D72A0" w14:paraId="09100D8F" w14:textId="77777777" w:rsidTr="004B0A36">
        <w:tc>
          <w:tcPr>
            <w:tcW w:w="3021" w:type="dxa"/>
            <w:shd w:val="clear" w:color="auto" w:fill="auto"/>
          </w:tcPr>
          <w:p w14:paraId="2E171288" w14:textId="77777777" w:rsidR="001569AE" w:rsidRPr="000D72A0" w:rsidRDefault="00C8515C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Tiefeneinstellung</w:t>
            </w:r>
          </w:p>
        </w:tc>
        <w:tc>
          <w:tcPr>
            <w:tcW w:w="3603" w:type="dxa"/>
            <w:shd w:val="clear" w:color="auto" w:fill="auto"/>
          </w:tcPr>
          <w:p w14:paraId="462EB62F" w14:textId="77777777" w:rsidR="001569AE" w:rsidRPr="000D72A0" w:rsidRDefault="00C8515C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-2 bis +2 mm</w:t>
            </w:r>
          </w:p>
        </w:tc>
      </w:tr>
      <w:tr w:rsidR="001569AE" w:rsidRPr="000D72A0" w14:paraId="38F696F7" w14:textId="77777777" w:rsidTr="004B0A36">
        <w:tc>
          <w:tcPr>
            <w:tcW w:w="3021" w:type="dxa"/>
            <w:shd w:val="clear" w:color="auto" w:fill="auto"/>
          </w:tcPr>
          <w:p w14:paraId="47E4CA51" w14:textId="77777777" w:rsidR="001569AE" w:rsidRPr="000D72A0" w:rsidRDefault="00C8515C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Falztiefe</w:t>
            </w:r>
          </w:p>
        </w:tc>
        <w:tc>
          <w:tcPr>
            <w:tcW w:w="3603" w:type="dxa"/>
            <w:shd w:val="clear" w:color="auto" w:fill="auto"/>
          </w:tcPr>
          <w:p w14:paraId="2F325513" w14:textId="77777777" w:rsidR="001569AE" w:rsidRPr="000D72A0" w:rsidRDefault="00C8515C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>0 – 12,5 mm</w:t>
            </w:r>
          </w:p>
        </w:tc>
      </w:tr>
      <w:tr w:rsidR="001569AE" w:rsidRPr="000D72A0" w14:paraId="51D60707" w14:textId="77777777" w:rsidTr="004B0A36">
        <w:tc>
          <w:tcPr>
            <w:tcW w:w="3021" w:type="dxa"/>
            <w:shd w:val="clear" w:color="auto" w:fill="auto"/>
          </w:tcPr>
          <w:p w14:paraId="670A4C22" w14:textId="77777777" w:rsidR="001569AE" w:rsidRPr="000D72A0" w:rsidRDefault="00C8515C" w:rsidP="000D72A0">
            <w:pPr>
              <w:spacing w:line="300" w:lineRule="exact"/>
              <w:rPr>
                <w:sz w:val="20"/>
              </w:rPr>
            </w:pPr>
            <w:r>
              <w:rPr>
                <w:sz w:val="20"/>
              </w:rPr>
              <w:t>Spanauswurf</w:t>
            </w:r>
          </w:p>
        </w:tc>
        <w:tc>
          <w:tcPr>
            <w:tcW w:w="3603" w:type="dxa"/>
            <w:shd w:val="clear" w:color="auto" w:fill="auto"/>
          </w:tcPr>
          <w:p w14:paraId="11179C5B" w14:textId="77777777" w:rsidR="001569AE" w:rsidRPr="000D72A0" w:rsidRDefault="00C8515C" w:rsidP="000D72A0">
            <w:pPr>
              <w:spacing w:line="300" w:lineRule="exact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x 58 mm </w:t>
            </w:r>
          </w:p>
        </w:tc>
      </w:tr>
      <w:tr w:rsidR="001569AE" w:rsidRPr="000D72A0" w14:paraId="6A241C71" w14:textId="77777777" w:rsidTr="004B0A36">
        <w:tc>
          <w:tcPr>
            <w:tcW w:w="3021" w:type="dxa"/>
            <w:shd w:val="clear" w:color="auto" w:fill="auto"/>
          </w:tcPr>
          <w:p w14:paraId="1AD88BAF" w14:textId="77777777" w:rsidR="001569AE" w:rsidRPr="000D72A0" w:rsidRDefault="001569AE" w:rsidP="000D72A0">
            <w:pPr>
              <w:spacing w:line="300" w:lineRule="exact"/>
              <w:rPr>
                <w:sz w:val="20"/>
              </w:rPr>
            </w:pPr>
            <w:r w:rsidRPr="000D72A0">
              <w:rPr>
                <w:sz w:val="20"/>
              </w:rPr>
              <w:t>Gewicht</w:t>
            </w:r>
            <w:r w:rsidR="006068D9" w:rsidRPr="000D72A0">
              <w:rPr>
                <w:sz w:val="20"/>
              </w:rPr>
              <w:t xml:space="preserve"> ohne Akku</w:t>
            </w:r>
          </w:p>
        </w:tc>
        <w:tc>
          <w:tcPr>
            <w:tcW w:w="3603" w:type="dxa"/>
            <w:shd w:val="clear" w:color="auto" w:fill="auto"/>
          </w:tcPr>
          <w:p w14:paraId="007380E2" w14:textId="77777777" w:rsidR="001569AE" w:rsidRPr="000D72A0" w:rsidRDefault="001569AE" w:rsidP="000D72A0">
            <w:pPr>
              <w:spacing w:line="300" w:lineRule="exact"/>
              <w:jc w:val="right"/>
              <w:rPr>
                <w:sz w:val="20"/>
              </w:rPr>
            </w:pPr>
            <w:r w:rsidRPr="000D72A0">
              <w:rPr>
                <w:sz w:val="20"/>
              </w:rPr>
              <w:t>2,05 kg</w:t>
            </w:r>
          </w:p>
        </w:tc>
      </w:tr>
    </w:tbl>
    <w:p w14:paraId="1EC8BF7B" w14:textId="77777777" w:rsidR="001569AE" w:rsidRPr="00D9602F" w:rsidRDefault="001569AE" w:rsidP="001569AE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14:paraId="16668D8E" w14:textId="77777777" w:rsidR="002F4F77" w:rsidRDefault="002F4F77" w:rsidP="00600E14">
      <w:pPr>
        <w:spacing w:line="360" w:lineRule="auto"/>
        <w:rPr>
          <w:sz w:val="22"/>
          <w:szCs w:val="22"/>
        </w:rPr>
      </w:pPr>
    </w:p>
    <w:p w14:paraId="77513914" w14:textId="77777777" w:rsidR="005113A9" w:rsidRDefault="005113A9" w:rsidP="005113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AEG</w:t>
      </w:r>
    </w:p>
    <w:p w14:paraId="0207B2D3" w14:textId="77777777" w:rsidR="00F47BDA" w:rsidRDefault="00F47BDA" w:rsidP="00BB2B4E">
      <w:pPr>
        <w:spacing w:line="360" w:lineRule="auto"/>
        <w:rPr>
          <w:i/>
          <w:sz w:val="20"/>
        </w:rPr>
      </w:pPr>
      <w:r w:rsidRPr="00F47BDA">
        <w:rPr>
          <w:noProof/>
          <w:sz w:val="22"/>
          <w:szCs w:val="22"/>
        </w:rPr>
        <w:lastRenderedPageBreak/>
        <w:drawing>
          <wp:inline distT="0" distB="0" distL="0" distR="0" wp14:anchorId="44196725" wp14:editId="1D96D4B4">
            <wp:extent cx="3240000" cy="2160000"/>
            <wp:effectExtent l="0" t="0" r="0" b="0"/>
            <wp:docPr id="4" name="Grafik 4" descr="D:\1PR\Daten\TTI AEG\Bilder\BHO18BL--Hero_1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PR\Daten\TTI AEG\Bilder\BHO18BL--Hero_1_150dp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3F42F" w14:textId="77777777" w:rsidR="005113A9" w:rsidRDefault="00F47BDA" w:rsidP="00BB2B4E">
      <w:pPr>
        <w:spacing w:line="360" w:lineRule="auto"/>
        <w:rPr>
          <w:i/>
          <w:sz w:val="20"/>
        </w:rPr>
      </w:pPr>
      <w:r w:rsidRPr="00F47BDA">
        <w:rPr>
          <w:i/>
          <w:sz w:val="20"/>
        </w:rPr>
        <w:t>Leistungsstark und bis ins Detail durchdacht – mit dem 18 Volt Akku-Hobel BHO18BL baut AEG sein kabelloses Programm für Anwender mit professionellem Anspruch weiter aus.</w:t>
      </w:r>
    </w:p>
    <w:p w14:paraId="219B9D60" w14:textId="77777777" w:rsidR="00F47BDA" w:rsidRDefault="00F47BDA" w:rsidP="00BB2B4E">
      <w:pPr>
        <w:spacing w:line="360" w:lineRule="auto"/>
        <w:rPr>
          <w:i/>
          <w:sz w:val="20"/>
        </w:rPr>
      </w:pPr>
    </w:p>
    <w:p w14:paraId="69F11E73" w14:textId="77777777" w:rsidR="00F47BDA" w:rsidRDefault="00F47BDA" w:rsidP="00BB2B4E">
      <w:pPr>
        <w:spacing w:line="360" w:lineRule="auto"/>
        <w:rPr>
          <w:sz w:val="22"/>
          <w:szCs w:val="22"/>
        </w:rPr>
      </w:pPr>
      <w:r w:rsidRPr="00F47BDA">
        <w:rPr>
          <w:noProof/>
          <w:sz w:val="22"/>
          <w:szCs w:val="22"/>
        </w:rPr>
        <w:drawing>
          <wp:inline distT="0" distB="0" distL="0" distR="0" wp14:anchorId="3E6AC433" wp14:editId="20F5A4F5">
            <wp:extent cx="3240000" cy="2160000"/>
            <wp:effectExtent l="0" t="0" r="0" b="0"/>
            <wp:docPr id="5" name="Grafik 5" descr="D:\1PR\Daten\TTI AEG\Bilder\BHO18BL--App_2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PR\Daten\TTI AEG\Bilder\BHO18BL--App_2_150d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A12EB" w14:textId="77777777" w:rsidR="00F47BDA" w:rsidRDefault="00F47BDA" w:rsidP="00BB2B4E">
      <w:pPr>
        <w:spacing w:line="360" w:lineRule="auto"/>
        <w:rPr>
          <w:i/>
          <w:sz w:val="20"/>
        </w:rPr>
      </w:pPr>
      <w:r>
        <w:rPr>
          <w:i/>
          <w:sz w:val="20"/>
        </w:rPr>
        <w:t>Kraftvoll und schnell: Die Elektronik der Maschine sorgt unter Belastung für einen wirksamen Schutz vor Überlastung und Überhitzung.</w:t>
      </w:r>
    </w:p>
    <w:p w14:paraId="0324A5DB" w14:textId="77777777" w:rsidR="00F47BDA" w:rsidRDefault="00F47BDA" w:rsidP="00BB2B4E">
      <w:pPr>
        <w:spacing w:line="360" w:lineRule="auto"/>
        <w:rPr>
          <w:i/>
          <w:sz w:val="20"/>
        </w:rPr>
      </w:pPr>
    </w:p>
    <w:p w14:paraId="2FFB65ED" w14:textId="77777777" w:rsidR="00F47BDA" w:rsidRDefault="00F47BDA" w:rsidP="00BB2B4E">
      <w:pPr>
        <w:spacing w:line="360" w:lineRule="auto"/>
        <w:rPr>
          <w:i/>
          <w:sz w:val="20"/>
        </w:rPr>
      </w:pPr>
      <w:r w:rsidRPr="00F47BDA">
        <w:rPr>
          <w:i/>
          <w:noProof/>
          <w:sz w:val="20"/>
        </w:rPr>
        <w:drawing>
          <wp:inline distT="0" distB="0" distL="0" distR="0" wp14:anchorId="0AC608F9" wp14:editId="6A52F43F">
            <wp:extent cx="3240000" cy="2160000"/>
            <wp:effectExtent l="0" t="0" r="0" b="0"/>
            <wp:docPr id="6" name="Grafik 6" descr="D:\1PR\Daten\TTI AEG\Bilder\BHO18BL--App_5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PR\Daten\TTI AEG\Bilder\BHO18BL--App_5_150dp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04BF" w14:textId="77777777" w:rsidR="00F47BDA" w:rsidRDefault="00F47BDA" w:rsidP="00BB2B4E">
      <w:pPr>
        <w:spacing w:line="360" w:lineRule="auto"/>
        <w:rPr>
          <w:i/>
          <w:sz w:val="20"/>
        </w:rPr>
      </w:pPr>
      <w:r w:rsidRPr="00F47BDA">
        <w:rPr>
          <w:i/>
          <w:sz w:val="20"/>
        </w:rPr>
        <w:t>Für beste Kontrolle und Führung beim Kantenfasen besitzt der Druckgussschuh eine 2,2 mm tiefe Fasenrille.</w:t>
      </w:r>
    </w:p>
    <w:sectPr w:rsidR="00F47BDA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22B34"/>
    <w:rsid w:val="00056923"/>
    <w:rsid w:val="00082128"/>
    <w:rsid w:val="00090DFF"/>
    <w:rsid w:val="000D2453"/>
    <w:rsid w:val="000D254D"/>
    <w:rsid w:val="000D72A0"/>
    <w:rsid w:val="00153171"/>
    <w:rsid w:val="001569AE"/>
    <w:rsid w:val="00162B9F"/>
    <w:rsid w:val="00170ED1"/>
    <w:rsid w:val="001B69DB"/>
    <w:rsid w:val="001D2EF0"/>
    <w:rsid w:val="00223F20"/>
    <w:rsid w:val="002610B7"/>
    <w:rsid w:val="002763AD"/>
    <w:rsid w:val="00277DF7"/>
    <w:rsid w:val="002C118A"/>
    <w:rsid w:val="002F4F77"/>
    <w:rsid w:val="003045F4"/>
    <w:rsid w:val="00314464"/>
    <w:rsid w:val="00327818"/>
    <w:rsid w:val="003A05F2"/>
    <w:rsid w:val="00411135"/>
    <w:rsid w:val="004155EE"/>
    <w:rsid w:val="00422234"/>
    <w:rsid w:val="00423F15"/>
    <w:rsid w:val="0043593A"/>
    <w:rsid w:val="00464636"/>
    <w:rsid w:val="00470B8A"/>
    <w:rsid w:val="00487E9A"/>
    <w:rsid w:val="004A3F08"/>
    <w:rsid w:val="004B0A36"/>
    <w:rsid w:val="004F2C0D"/>
    <w:rsid w:val="005113A9"/>
    <w:rsid w:val="005651B2"/>
    <w:rsid w:val="00565ADB"/>
    <w:rsid w:val="00577AD5"/>
    <w:rsid w:val="005D2378"/>
    <w:rsid w:val="00600E14"/>
    <w:rsid w:val="006068D9"/>
    <w:rsid w:val="00656AA4"/>
    <w:rsid w:val="00662142"/>
    <w:rsid w:val="0069035D"/>
    <w:rsid w:val="006D653A"/>
    <w:rsid w:val="00761543"/>
    <w:rsid w:val="00792CBB"/>
    <w:rsid w:val="007E32BC"/>
    <w:rsid w:val="00825A9B"/>
    <w:rsid w:val="00926B39"/>
    <w:rsid w:val="0094635C"/>
    <w:rsid w:val="009835F3"/>
    <w:rsid w:val="009A1880"/>
    <w:rsid w:val="009C35FD"/>
    <w:rsid w:val="009F4143"/>
    <w:rsid w:val="00A7109B"/>
    <w:rsid w:val="00AA3D02"/>
    <w:rsid w:val="00AA7E9F"/>
    <w:rsid w:val="00B027E7"/>
    <w:rsid w:val="00B070E5"/>
    <w:rsid w:val="00B37F14"/>
    <w:rsid w:val="00B67A95"/>
    <w:rsid w:val="00B854FA"/>
    <w:rsid w:val="00B96D95"/>
    <w:rsid w:val="00BB2B4E"/>
    <w:rsid w:val="00C07778"/>
    <w:rsid w:val="00C73E34"/>
    <w:rsid w:val="00C8515C"/>
    <w:rsid w:val="00CB4870"/>
    <w:rsid w:val="00D0357F"/>
    <w:rsid w:val="00D11441"/>
    <w:rsid w:val="00D26A0B"/>
    <w:rsid w:val="00D35ABC"/>
    <w:rsid w:val="00D50382"/>
    <w:rsid w:val="00D91CF1"/>
    <w:rsid w:val="00D95DE1"/>
    <w:rsid w:val="00DA38BB"/>
    <w:rsid w:val="00DB3CA7"/>
    <w:rsid w:val="00DE054D"/>
    <w:rsid w:val="00F35540"/>
    <w:rsid w:val="00F46927"/>
    <w:rsid w:val="00F47BDA"/>
    <w:rsid w:val="00FA7922"/>
    <w:rsid w:val="00FB7590"/>
    <w:rsid w:val="00FC3DF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2802D4"/>
  <w15:chartTrackingRefBased/>
  <w15:docId w15:val="{89C957E9-E9F2-4C8C-B2B5-C18B8228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14</cp:revision>
  <cp:lastPrinted>2019-06-12T15:30:00Z</cp:lastPrinted>
  <dcterms:created xsi:type="dcterms:W3CDTF">2019-06-12T12:49:00Z</dcterms:created>
  <dcterms:modified xsi:type="dcterms:W3CDTF">2019-07-15T09:10:00Z</dcterms:modified>
</cp:coreProperties>
</file>